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оборудования.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«ОКПД2 27.11.31. Приобретение контейнерной ДЭС 1000 кВт с БУТ 1300 кВт — 2 ед.» 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10204" w:leader="dot"/>
            </w:tabs>
            <w:rPr/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_RefHeading___Toc9035_3084006660" w:tgtFrame="#__RefHeading___Toc9035_3084006660">
            <w:r>
              <w:rPr>
                <w:webHidden/>
                <w:rStyle w:val="Style14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10204" w:leader="dot"/>
            </w:tabs>
            <w:rPr/>
          </w:pPr>
          <w:hyperlink w:anchor="__RefHeading___Toc9037_3084006660" w:tgtFrame="#__RefHeading___Toc9037_3084006660">
            <w:r>
              <w:rPr>
                <w:webHidden/>
                <w:rStyle w:val="Style14"/>
                <w:vanish w:val="false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10204" w:leader="dot"/>
            </w:tabs>
            <w:rPr/>
          </w:pPr>
          <w:hyperlink w:anchor="__RefHeading___Toc9039_3084006660" w:tgtFrame="#__RefHeading___Toc9039_3084006660">
            <w:r>
              <w:rPr>
                <w:webHidden/>
                <w:rStyle w:val="Style14"/>
                <w:vanish w:val="false"/>
              </w:rPr>
              <w:t>1.2. Наименование закупаемой продукции</w:t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10204" w:leader="dot"/>
            </w:tabs>
            <w:rPr/>
          </w:pPr>
          <w:hyperlink w:anchor="__RefHeading___Toc9041_3084006660" w:tgtFrame="#__RefHeading___Toc9041_3084006660">
            <w:r>
              <w:rPr>
                <w:webHidden/>
                <w:rStyle w:val="Style14"/>
                <w:vanish w:val="false"/>
              </w:rPr>
              <w:t>1.3. Цель использования закупаемой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10204" w:leader="dot"/>
            </w:tabs>
            <w:rPr/>
          </w:pPr>
          <w:hyperlink w:anchor="__RefHeading___Toc9043_3084006660" w:tgtFrame="#__RefHeading___Toc9043_3084006660">
            <w:r>
              <w:rPr>
                <w:webHidden/>
                <w:rStyle w:val="Style14"/>
                <w:vanish w:val="false"/>
              </w:rPr>
              <w:t xml:space="preserve">2. </w:t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rStyle w:val="Style14"/>
              </w:rPr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10204" w:leader="dot"/>
            </w:tabs>
            <w:rPr/>
          </w:pPr>
          <w:hyperlink w:anchor="__RefHeading___Toc9045_3084006660" w:tgtFrame="#__RefHeading___Toc9045_3084006660">
            <w:r>
              <w:rPr>
                <w:webHidden/>
                <w:rStyle w:val="Style14"/>
                <w:vanish w:val="false"/>
              </w:rPr>
              <w:t>2.1. Требования к объемам и срокам поставки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10204" w:leader="dot"/>
            </w:tabs>
            <w:rPr/>
          </w:pPr>
          <w:hyperlink w:anchor="__RefHeading___Toc9047_3084006660" w:tgtFrame="#__RefHeading___Toc9047_3084006660">
            <w:r>
              <w:rPr>
                <w:webHidden/>
                <w:rStyle w:val="Style14"/>
                <w:vanish w:val="false"/>
              </w:rPr>
              <w:t>2.1.1. Перечень и объем закупаемой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10204" w:leader="dot"/>
            </w:tabs>
            <w:rPr/>
          </w:pPr>
          <w:hyperlink w:anchor="__RefHeading___Toc9049_3084006660" w:tgtFrame="#__RefHeading___Toc9049_3084006660">
            <w:r>
              <w:rPr>
                <w:webHidden/>
                <w:rStyle w:val="Style14"/>
                <w:vanish w:val="false"/>
              </w:rPr>
              <w:t>Таблица 1. Перечень и объем закупаемой продукции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10204" w:leader="dot"/>
            </w:tabs>
            <w:rPr/>
          </w:pPr>
          <w:hyperlink w:anchor="__RefHeading___Toc9051_3084006660" w:tgtFrame="#__RefHeading___Toc9051_3084006660">
            <w:r>
              <w:rPr>
                <w:webHidden/>
                <w:rStyle w:val="Style14"/>
                <w:vanish w:val="false"/>
              </w:rPr>
              <w:t>2.1.2. Требования к срокам поставки продукции и оказания сопутствующих услуг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10204" w:leader="dot"/>
            </w:tabs>
            <w:rPr/>
          </w:pPr>
          <w:hyperlink w:anchor="__RefHeading___Toc9053_3084006660" w:tgtFrame="#__RefHeading___Toc9053_3084006660">
            <w:r>
              <w:rPr>
                <w:webHidden/>
                <w:rStyle w:val="Style14"/>
                <w:vanish w:val="false"/>
              </w:rPr>
              <w:t>Таблица 2. Требования по срокам поставки продукции</w:t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10204" w:leader="dot"/>
            </w:tabs>
            <w:rPr/>
          </w:pPr>
          <w:hyperlink w:anchor="__RefHeading___Toc9055_3084006660" w:tgtFrame="#__RefHeading___Toc9055_3084006660">
            <w:r>
              <w:rPr>
                <w:webHidden/>
                <w:rStyle w:val="Style14"/>
                <w:vanish w:val="false"/>
              </w:rPr>
              <w:t>2.2. Требования к качеству продукции</w:t>
              <w:tab/>
              <w:t>5</w:t>
            </w:r>
          </w:hyperlink>
        </w:p>
        <w:p>
          <w:pPr>
            <w:pStyle w:val="TOC1"/>
            <w:tabs>
              <w:tab w:val="clear" w:pos="708"/>
              <w:tab w:val="right" w:pos="10204" w:leader="dot"/>
            </w:tabs>
            <w:rPr/>
          </w:pPr>
          <w:hyperlink w:anchor="__RefHeading___Toc9057_3084006660" w:tgtFrame="#__RefHeading___Toc9057_3084006660">
            <w:r>
              <w:rPr>
                <w:webHidden/>
                <w:rStyle w:val="Style14"/>
                <w:vanish w:val="false"/>
              </w:rPr>
              <w:t xml:space="preserve"> </w:t>
            </w:r>
            <w:r>
              <w:rPr>
                <w:rStyle w:val="Style14"/>
              </w:rPr>
              <w:t>Таблица 3. Требования к продукции</w:t>
              <w:tab/>
              <w:t>5</w:t>
            </w:r>
          </w:hyperlink>
        </w:p>
        <w:p>
          <w:pPr>
            <w:pStyle w:val="TOC4"/>
            <w:tabs>
              <w:tab w:val="clear" w:pos="708"/>
              <w:tab w:val="right" w:pos="10204" w:leader="dot"/>
            </w:tabs>
            <w:rPr/>
          </w:pPr>
          <w:hyperlink w:anchor="__RefHeading___Toc9059_3084006660" w:tgtFrame="#__RefHeading___Toc9059_3084006660">
            <w:r>
              <w:rPr>
                <w:webHidden/>
                <w:rStyle w:val="Style14"/>
                <w:vanish w:val="false"/>
              </w:rPr>
              <w:t>2.2.1. Требования к закупаемой продукции:</w:t>
              <w:tab/>
              <w:t>18</w:t>
            </w:r>
          </w:hyperlink>
        </w:p>
        <w:p>
          <w:pPr>
            <w:pStyle w:val="TOC4"/>
            <w:tabs>
              <w:tab w:val="clear" w:pos="708"/>
              <w:tab w:val="right" w:pos="10204" w:leader="dot"/>
            </w:tabs>
            <w:rPr/>
          </w:pPr>
          <w:hyperlink w:anchor="__RefHeading___Toc3910_3961127944_%D0%9A%D0%BE%D0%BF%D0%B8%D1%8F_" w:tgtFrame="#__RefHeading___Toc3910_3961127944_%D0%9A%D0%BE%D0%BF%D0%B8%D1%8F_">
            <w:r>
              <w:rPr>
                <w:webHidden/>
                <w:rStyle w:val="Style14"/>
                <w:vanish w:val="false"/>
              </w:rPr>
              <w:t>2.2.2. В составе заявки необходимо предоставить:</w:t>
              <w:tab/>
              <w:t>18</w:t>
            </w:r>
          </w:hyperlink>
        </w:p>
        <w:p>
          <w:pPr>
            <w:pStyle w:val="TOC1"/>
            <w:tabs>
              <w:tab w:val="clear" w:pos="708"/>
              <w:tab w:val="right" w:pos="10204" w:leader="dot"/>
            </w:tabs>
            <w:rPr/>
          </w:pPr>
          <w:hyperlink w:anchor="__RefHeading___Toc9061_3084006660" w:tgtFrame="#__RefHeading___Toc9061_3084006660">
            <w:r>
              <w:rPr>
                <w:webHidden/>
                <w:rStyle w:val="Style14"/>
                <w:vanish w:val="false"/>
              </w:rPr>
              <w:t xml:space="preserve"> </w:t>
            </w:r>
            <w:r>
              <w:rPr>
                <w:rStyle w:val="Style14"/>
              </w:rPr>
              <w:t>3. Требования к документации по ценообразованию на этапе закупки.</w:t>
              <w:tab/>
              <w:t>18</w:t>
            </w:r>
          </w:hyperlink>
        </w:p>
        <w:p>
          <w:pPr>
            <w:pStyle w:val="TOC1"/>
            <w:tabs>
              <w:tab w:val="clear" w:pos="708"/>
              <w:tab w:val="right" w:pos="10204" w:leader="dot"/>
            </w:tabs>
            <w:rPr/>
          </w:pPr>
          <w:hyperlink w:anchor="__RefHeading___Toc9063_3084006660" w:tgtFrame="#__RefHeading___Toc9063_3084006660">
            <w:r>
              <w:rPr>
                <w:webHidden/>
                <w:rStyle w:val="Style14"/>
                <w:vanish w:val="false"/>
              </w:rPr>
              <w:t xml:space="preserve"> </w:t>
            </w:r>
            <w:r>
              <w:rPr>
                <w:rStyle w:val="Style14"/>
              </w:rPr>
              <w:t>4. Приложение к техническим требованиям: Приложение №1 - Опросный лист.</w:t>
              <w:tab/>
              <w:t>19</w:t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10204" w:leader="dot"/>
        </w:tabs>
        <w:rPr/>
      </w:pPr>
      <w:r>
        <w:rPr/>
      </w:r>
    </w:p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caps/>
        </w:rPr>
      </w:pPr>
      <w:bookmarkStart w:id="0" w:name="__RefHeading___Toc9035_3084006660"/>
      <w:bookmarkStart w:id="1" w:name="_Toc205555230"/>
      <w:bookmarkStart w:id="2" w:name="_Toc51339692"/>
      <w:bookmarkStart w:id="3" w:name="_Toc148695166"/>
      <w:bookmarkEnd w:id="0"/>
      <w:r>
        <w:rPr/>
        <w:t>Общие сведения</w:t>
      </w:r>
      <w:bookmarkEnd w:id="1"/>
      <w:bookmarkEnd w:id="2"/>
      <w:bookmarkEnd w:id="3"/>
    </w:p>
    <w:p>
      <w:pPr>
        <w:pStyle w:val="Heading4"/>
        <w:numPr>
          <w:ilvl w:val="1"/>
          <w:numId w:val="1"/>
        </w:numPr>
        <w:rPr/>
      </w:pPr>
      <w:bookmarkStart w:id="4" w:name="__RefHeading___Toc9037_3084006660"/>
      <w:bookmarkStart w:id="5" w:name="_Toc205555231"/>
      <w:bookmarkStart w:id="6" w:name="_Toc148695167"/>
      <w:bookmarkStart w:id="7" w:name="_Toc46743505"/>
      <w:bookmarkEnd w:id="4"/>
      <w:r>
        <w:rPr/>
        <w:t>Обозначения и сокращения</w:t>
      </w:r>
      <w:bookmarkEnd w:id="5"/>
      <w:bookmarkEnd w:id="6"/>
      <w:bookmarkEnd w:id="7"/>
    </w:p>
    <w:p>
      <w:pPr>
        <w:pStyle w:val="Normal"/>
        <w:rPr>
          <w:rStyle w:val="Style10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5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70"/>
        <w:gridCol w:w="8579"/>
      </w:tblGrid>
      <w:tr>
        <w:trPr>
          <w:cantSplit w:val="true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ТТ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ЭГ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Электрический генератор</w:t>
            </w:r>
          </w:p>
        </w:tc>
      </w:tr>
      <w:tr>
        <w:trPr>
          <w:cantSplit w:val="true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АПС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Аварийно-предупредительная сигнализация</w:t>
            </w:r>
          </w:p>
        </w:tc>
      </w:tr>
      <w:tr>
        <w:trPr>
          <w:cantSplit w:val="true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ТЗ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Технологическая защита</w:t>
            </w:r>
          </w:p>
        </w:tc>
      </w:tr>
      <w:tr>
        <w:trPr>
          <w:cantSplit w:val="true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ЩАУ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Щит автоматического управления</w:t>
            </w:r>
          </w:p>
        </w:tc>
      </w:tr>
      <w:tr>
        <w:trPr>
          <w:cantSplit w:val="true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ДГА</w:t>
            </w:r>
          </w:p>
        </w:tc>
        <w:tc>
          <w:tcPr>
            <w:tcW w:w="8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120" w:after="120"/>
              <w:rPr>
                <w:i/>
                <w:i/>
              </w:rPr>
            </w:pPr>
            <w:r>
              <w:rPr>
                <w:i/>
              </w:rPr>
              <w:t>Дизель – генераторный агрегат</w:t>
            </w:r>
          </w:p>
        </w:tc>
      </w:tr>
      <w:tr>
        <w:trPr/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</w:rPr>
            </w:pPr>
            <w:r>
              <w:rPr>
                <w:i/>
                <w:iCs/>
              </w:rPr>
              <w:t>БУТ</w:t>
            </w:r>
          </w:p>
        </w:tc>
        <w:tc>
          <w:tcPr>
            <w:tcW w:w="85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</w:rPr>
            </w:pPr>
            <w:r>
              <w:rPr>
                <w:i/>
                <w:iCs/>
              </w:rPr>
              <w:t>Блок утилизациии тепла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1"/>
        </w:numPr>
        <w:rPr/>
      </w:pPr>
      <w:bookmarkStart w:id="8" w:name="__RefHeading___Toc9039_3084006660"/>
      <w:bookmarkStart w:id="9" w:name="_Toc148695168"/>
      <w:bookmarkStart w:id="10" w:name="_Toc205555232"/>
      <w:bookmarkStart w:id="11" w:name="_Toc46743506"/>
      <w:bookmarkEnd w:id="8"/>
      <w:r>
        <w:rPr/>
        <w:t>Наименование закупаемой продукции</w:t>
      </w:r>
      <w:bookmarkEnd w:id="9"/>
      <w:bookmarkEnd w:id="10"/>
      <w:bookmarkEnd w:id="11"/>
    </w:p>
    <w:p>
      <w:pPr>
        <w:pStyle w:val="Normal"/>
        <w:ind w:firstLine="426"/>
        <w:rPr>
          <w:sz w:val="24"/>
        </w:rPr>
      </w:pPr>
      <w:r>
        <w:rPr>
          <w:sz w:val="24"/>
        </w:rPr>
        <w:t xml:space="preserve"> </w:t>
      </w:r>
      <w:bookmarkStart w:id="12" w:name="_Toc148695169"/>
      <w:r>
        <w:rPr>
          <w:sz w:val="24"/>
        </w:rPr>
        <w:t>«Контейнерная ДЭС с БУТ в количестве — 2 ед.»</w:t>
      </w:r>
      <w:bookmarkEnd w:id="12"/>
    </w:p>
    <w:p>
      <w:pPr>
        <w:pStyle w:val="Heading4"/>
        <w:tabs>
          <w:tab w:val="clear" w:pos="0"/>
        </w:tabs>
        <w:ind w:left="0" w:hanging="0"/>
        <w:rPr/>
      </w:pPr>
      <w:bookmarkStart w:id="13" w:name="__RefHeading___Toc9041_3084006660"/>
      <w:bookmarkEnd w:id="13"/>
      <w:r>
        <w:rPr/>
        <w:br w:type="textWrapping" w:clear="all"/>
      </w:r>
      <w:bookmarkStart w:id="14" w:name="_Toc205555233"/>
      <w:bookmarkStart w:id="15" w:name="_Toc148695170"/>
      <w:r>
        <w:rPr/>
        <w:t>1.3.</w:t>
      </w:r>
      <w:bookmarkStart w:id="16" w:name="_Toc46743507"/>
      <w:r>
        <w:rPr/>
        <w:t xml:space="preserve"> Цель использования закупаемой продукции</w:t>
      </w:r>
      <w:bookmarkEnd w:id="14"/>
      <w:bookmarkEnd w:id="15"/>
      <w:bookmarkEnd w:id="16"/>
    </w:p>
    <w:p>
      <w:pPr>
        <w:pStyle w:val="Normal"/>
        <w:ind w:firstLine="426"/>
        <w:rPr>
          <w:sz w:val="24"/>
        </w:rPr>
      </w:pPr>
      <w:r>
        <w:rPr>
          <w:sz w:val="24"/>
        </w:rPr>
        <w:t xml:space="preserve">Повышение качества вырабатываемой электрической и тепловой энергии ДЭС п. Усть-Куйга </w:t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iCs/>
          <w:caps/>
        </w:rPr>
      </w:pPr>
      <w:bookmarkStart w:id="17" w:name="__RefHeading___Toc9043_3084006660"/>
      <w:bookmarkStart w:id="18" w:name="_Toc205555234"/>
      <w:bookmarkStart w:id="19" w:name="_Toc148695171"/>
      <w:bookmarkStart w:id="20" w:name="_Toc51339693"/>
      <w:bookmarkStart w:id="21" w:name="_Toc46743510"/>
      <w:bookmarkStart w:id="22" w:name="_Toc50125126"/>
      <w:bookmarkEnd w:id="17"/>
      <w:bookmarkEnd w:id="21"/>
      <w:bookmarkEnd w:id="22"/>
      <w:r>
        <w:rPr>
          <w:iCs/>
        </w:rPr>
        <w:t>Требования к продукции</w:t>
      </w:r>
      <w:bookmarkEnd w:id="18"/>
      <w:bookmarkEnd w:id="19"/>
      <w:bookmarkEnd w:id="20"/>
    </w:p>
    <w:p>
      <w:pPr>
        <w:pStyle w:val="Heading4"/>
        <w:numPr>
          <w:ilvl w:val="1"/>
          <w:numId w:val="1"/>
        </w:numPr>
        <w:rPr/>
      </w:pPr>
      <w:bookmarkStart w:id="23" w:name="__RefHeading___Toc9045_3084006660"/>
      <w:bookmarkStart w:id="24" w:name="_Toc148695172"/>
      <w:bookmarkStart w:id="25" w:name="_Toc205555235"/>
      <w:bookmarkEnd w:id="23"/>
      <w:r>
        <w:rPr/>
        <w:t>Требования к объемам и срокам поставки</w:t>
      </w:r>
      <w:bookmarkEnd w:id="24"/>
      <w:bookmarkEnd w:id="25"/>
    </w:p>
    <w:p>
      <w:pPr>
        <w:pStyle w:val="Heading3"/>
        <w:numPr>
          <w:ilvl w:val="2"/>
          <w:numId w:val="1"/>
        </w:numPr>
        <w:rPr/>
      </w:pPr>
      <w:bookmarkStart w:id="26" w:name="__RefHeading___Toc9047_3084006660"/>
      <w:bookmarkStart w:id="27" w:name="_Toc205555236"/>
      <w:bookmarkStart w:id="28" w:name="_Toc148695173"/>
      <w:bookmarkEnd w:id="26"/>
      <w:r>
        <w:rPr/>
        <w:t>Перечень и объем закупаемой продукции</w:t>
      </w:r>
      <w:bookmarkEnd w:id="27"/>
      <w:bookmarkEnd w:id="28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bookmarkStart w:id="29" w:name="__RefHeading___Toc9049_3084006660"/>
      <w:bookmarkStart w:id="30" w:name="_Toc205555237"/>
      <w:bookmarkStart w:id="31" w:name="_Toc148695174"/>
      <w:bookmarkStart w:id="32" w:name="_Toc51339695"/>
      <w:bookmarkEnd w:id="29"/>
      <w:r>
        <w:rPr>
          <w:sz w:val="24"/>
          <w:szCs w:val="24"/>
        </w:rPr>
        <w:t xml:space="preserve">Таблица 1. Перечень </w:t>
      </w:r>
      <w:bookmarkEnd w:id="32"/>
      <w:r>
        <w:rPr>
          <w:sz w:val="24"/>
          <w:szCs w:val="24"/>
        </w:rPr>
        <w:t>и объем закупаемой продукции</w:t>
      </w:r>
      <w:bookmarkEnd w:id="30"/>
      <w:bookmarkEnd w:id="31"/>
    </w:p>
    <w:tbl>
      <w:tblPr>
        <w:tblW w:w="9812" w:type="dxa"/>
        <w:jc w:val="left"/>
        <w:tblInd w:w="2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7"/>
        <w:gridCol w:w="7105"/>
        <w:gridCol w:w="1116"/>
        <w:gridCol w:w="1023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/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 w:val="false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Контейнерная ДЭС 1000 кВт с БУТ 1300 кВт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шт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2</w:t>
            </w:r>
          </w:p>
        </w:tc>
      </w:tr>
      <w:tr>
        <w:trPr/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60" w:hanging="0"/>
              <w:rPr/>
            </w:pPr>
            <w:r>
              <w:rPr/>
            </w:r>
          </w:p>
        </w:tc>
        <w:tc>
          <w:tcPr>
            <w:tcW w:w="7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>
      <w:pPr>
        <w:pStyle w:val="Heading3"/>
        <w:tabs>
          <w:tab w:val="clear" w:pos="0"/>
        </w:tabs>
        <w:ind w:left="1224" w:hanging="0"/>
        <w:rPr>
          <w:sz w:val="12"/>
        </w:rPr>
      </w:pPr>
      <w:r>
        <w:rPr>
          <w:sz w:val="12"/>
        </w:rPr>
      </w:r>
    </w:p>
    <w:p>
      <w:pPr>
        <w:pStyle w:val="Heading3"/>
        <w:numPr>
          <w:ilvl w:val="2"/>
          <w:numId w:val="1"/>
        </w:numPr>
        <w:rPr/>
      </w:pPr>
      <w:bookmarkStart w:id="33" w:name="__RefHeading___Toc9051_3084006660"/>
      <w:bookmarkStart w:id="34" w:name="_Toc205555238"/>
      <w:bookmarkStart w:id="35" w:name="_Toc148695175"/>
      <w:bookmarkEnd w:id="33"/>
      <w:r>
        <w:rPr/>
        <w:t>Требования к срокам поставки продукции и оказания сопутствующих услуг</w:t>
      </w:r>
      <w:bookmarkEnd w:id="34"/>
      <w:bookmarkEnd w:id="35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bookmarkStart w:id="36" w:name="__RefHeading___Toc9053_3084006660"/>
      <w:bookmarkStart w:id="37" w:name="_Toc148695176"/>
      <w:bookmarkStart w:id="38" w:name="_Toc205555239"/>
      <w:bookmarkStart w:id="39" w:name="_Toc50125127"/>
      <w:bookmarkStart w:id="40" w:name="_Toc51339697"/>
      <w:bookmarkEnd w:id="36"/>
      <w:r>
        <w:rPr>
          <w:sz w:val="24"/>
          <w:szCs w:val="24"/>
        </w:rPr>
        <w:t xml:space="preserve">Таблица 2. </w:t>
      </w:r>
      <w:bookmarkStart w:id="41" w:name="_Hlk50465284"/>
      <w:r>
        <w:rPr>
          <w:sz w:val="24"/>
          <w:szCs w:val="24"/>
        </w:rPr>
        <w:t xml:space="preserve">Требования по срокам </w:t>
      </w:r>
      <w:bookmarkEnd w:id="39"/>
      <w:bookmarkEnd w:id="40"/>
      <w:bookmarkEnd w:id="41"/>
      <w:r>
        <w:rPr>
          <w:sz w:val="24"/>
          <w:szCs w:val="24"/>
        </w:rPr>
        <w:t>поставки продукции</w:t>
      </w:r>
      <w:bookmarkEnd w:id="37"/>
      <w:bookmarkEnd w:id="38"/>
      <w:r>
        <w:rPr>
          <w:sz w:val="24"/>
          <w:szCs w:val="24"/>
        </w:rPr>
        <w:t xml:space="preserve"> 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0"/>
        <w:gridCol w:w="2720"/>
        <w:gridCol w:w="2997"/>
        <w:gridCol w:w="3098"/>
      </w:tblGrid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06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/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 w:val="false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en-US"/>
              </w:rPr>
              <w:t>Контейнерная ДЭС 1000 кВт с БУТ 1300 кВт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45 (сорок пять) календарных дней с даты подписания договора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851" w:right="851" w:gutter="0" w:header="680" w:top="737" w:footer="0" w:bottom="992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1"/>
        </w:numPr>
        <w:rPr/>
      </w:pPr>
      <w:bookmarkStart w:id="42" w:name="__RefHeading___Toc9055_3084006660"/>
      <w:bookmarkStart w:id="43" w:name="_Toc51339698"/>
      <w:bookmarkStart w:id="44" w:name="_Toc50125131"/>
      <w:bookmarkStart w:id="45" w:name="_Toc205555240"/>
      <w:bookmarkStart w:id="46" w:name="_Toc148695177"/>
      <w:bookmarkStart w:id="47" w:name="_Toc46743511"/>
      <w:bookmarkStart w:id="48" w:name="_Toc50125126_Копия_1"/>
      <w:bookmarkStart w:id="49" w:name="_Toc46743510_Копия_1"/>
      <w:bookmarkEnd w:id="42"/>
      <w:bookmarkEnd w:id="48"/>
      <w:bookmarkEnd w:id="49"/>
      <w:r>
        <w:rPr/>
        <w:t xml:space="preserve">Требования к </w:t>
      </w:r>
      <w:bookmarkEnd w:id="47"/>
      <w:r>
        <w:rPr/>
        <w:t>качеству продукции</w:t>
      </w:r>
      <w:bookmarkEnd w:id="45"/>
      <w:bookmarkEnd w:id="46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bookmarkStart w:id="50" w:name="__RefHeading___Toc9057_3084006660"/>
      <w:bookmarkEnd w:id="50"/>
      <w:r>
        <w:rPr>
          <w:sz w:val="24"/>
          <w:szCs w:val="24"/>
        </w:rPr>
        <w:t xml:space="preserve"> </w:t>
      </w:r>
      <w:bookmarkStart w:id="51" w:name="_Toc148695178"/>
      <w:bookmarkStart w:id="52" w:name="_Toc205555241"/>
      <w:bookmarkStart w:id="53" w:name="_Toc75446582"/>
      <w:r>
        <w:rPr>
          <w:sz w:val="24"/>
          <w:szCs w:val="24"/>
        </w:rPr>
        <w:t>Таблица 3. Требования к продукции</w:t>
      </w:r>
      <w:bookmarkEnd w:id="51"/>
      <w:bookmarkEnd w:id="52"/>
      <w:bookmarkEnd w:id="53"/>
      <w:r>
        <w:rPr>
          <w:sz w:val="24"/>
          <w:szCs w:val="24"/>
        </w:rPr>
        <w:t xml:space="preserve"> </w:t>
      </w:r>
      <w:bookmarkEnd w:id="43"/>
      <w:bookmarkEnd w:id="44"/>
    </w:p>
    <w:p>
      <w:pPr>
        <w:pStyle w:val="Normal"/>
        <w:rPr>
          <w:rStyle w:val="Style10"/>
          <w:b w:val="false"/>
        </w:rPr>
      </w:pPr>
      <w:r>
        <w:rPr>
          <w:b w:val="false"/>
        </w:rPr>
      </w:r>
    </w:p>
    <w:p>
      <w:pPr>
        <w:pStyle w:val="Normal"/>
        <w:jc w:val="both"/>
        <w:rPr>
          <w:rStyle w:val="Style10"/>
          <w:b w:val="false"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 </w:t>
      </w:r>
      <w:r>
        <w:rPr>
          <w:b/>
          <w:sz w:val="24"/>
          <w:szCs w:val="24"/>
        </w:rPr>
        <w:t>«</w:t>
      </w:r>
      <w:r>
        <w:rPr>
          <w:b/>
          <w:color w:val="000000"/>
          <w:sz w:val="26"/>
          <w:szCs w:val="26"/>
        </w:rPr>
        <w:t>Контейнерная ДЭС 1000 кВт с БУТ 1300 кВт</w:t>
      </w:r>
      <w:r>
        <w:rPr>
          <w:rFonts w:eastAsia="Calibri"/>
          <w:b/>
          <w:sz w:val="24"/>
          <w:szCs w:val="24"/>
        </w:rPr>
        <w:t>»</w:t>
      </w:r>
    </w:p>
    <w:tbl>
      <w:tblPr>
        <w:tblStyle w:val="1077"/>
        <w:tblW w:w="1556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"/>
        <w:gridCol w:w="3290"/>
        <w:gridCol w:w="182"/>
        <w:gridCol w:w="3474"/>
        <w:gridCol w:w="2551"/>
        <w:gridCol w:w="2411"/>
        <w:gridCol w:w="2692"/>
      </w:tblGrid>
      <w:tr>
        <w:trPr/>
        <w:tc>
          <w:tcPr>
            <w:tcW w:w="96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29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Наименование параметра</w:t>
            </w:r>
          </w:p>
        </w:tc>
        <w:tc>
          <w:tcPr>
            <w:tcW w:w="3656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Требование заказчика</w:t>
            </w:r>
          </w:p>
        </w:tc>
        <w:tc>
          <w:tcPr>
            <w:tcW w:w="496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69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96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9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56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9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29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4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0" w:hanging="0"/>
              <w:contextualSpacing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</w:r>
          </w:p>
        </w:tc>
        <w:tc>
          <w:tcPr>
            <w:tcW w:w="694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1.1.</w:t>
            </w:r>
          </w:p>
        </w:tc>
        <w:tc>
          <w:tcPr>
            <w:tcW w:w="3290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Требования к техническим и функциональным характеристикам в отношении каждой позиции продукции</w:t>
            </w:r>
          </w:p>
        </w:tc>
        <w:tc>
          <w:tcPr>
            <w:tcW w:w="365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Представлены в Приложении № 1 (опросный лист) к настоящим Техническим требованиям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Заполненный Опросный лист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( Приложение № 1 к ТТ)</w:t>
            </w:r>
          </w:p>
        </w:tc>
        <w:tc>
          <w:tcPr>
            <w:tcW w:w="2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‍</w:t>
            </w:r>
            <w:r>
              <w:rPr>
                <w:kern w:val="0"/>
                <w:sz w:val="24"/>
                <w:szCs w:val="24"/>
                <w:lang w:val="ru-RU" w:bidi="ar-SA"/>
              </w:rPr>
              <w:t>1.2</w:t>
            </w:r>
          </w:p>
        </w:tc>
        <w:tc>
          <w:tcPr>
            <w:tcW w:w="3290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Требования к оформлению Опросного листа (Приложение № 1 к ТТ)</w:t>
            </w:r>
          </w:p>
        </w:tc>
        <w:tc>
          <w:tcPr>
            <w:tcW w:w="365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Если по тем позициям Технических требований и / или Опросного листа (Приложение № 1 к ТТ), по которым требовалось подтверждение в форме согласия («Согласны с требованием»), Участник предостави</w:t>
            </w:r>
            <w:bookmarkStart w:id="54" w:name="_GoBack"/>
            <w:bookmarkEnd w:id="54"/>
            <w:r>
              <w:rPr>
                <w:iCs/>
                <w:kern w:val="0"/>
                <w:sz w:val="24"/>
                <w:szCs w:val="24"/>
                <w:lang w:val="ru-RU" w:bidi="ar-SA"/>
              </w:rPr>
              <w:t>т свои подробные предложения отличные от требуемых значений в отношении поставляемой продукции вместе с требуемым согласием, такие подробные предложения будут расцениваться как двусмысленное толкование. Данная заявка Участника подлежит отклонению.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1.3.</w:t>
            </w:r>
          </w:p>
        </w:tc>
        <w:tc>
          <w:tcPr>
            <w:tcW w:w="329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Требования к ДГА</w:t>
            </w:r>
          </w:p>
        </w:tc>
        <w:tc>
          <w:tcPr>
            <w:tcW w:w="3656" w:type="dxa"/>
            <w:gridSpan w:val="2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 xml:space="preserve">ДГА "длительной мощностью" (СОР) 800 кВт., по ГОСТ </w:t>
              <w:br/>
              <w:t>10150-2014, открытого исполнения на раме, с возможностью параллельной работы на единую нагрузку.</w:t>
            </w:r>
          </w:p>
        </w:tc>
        <w:tc>
          <w:tcPr>
            <w:tcW w:w="255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9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56" w:type="dxa"/>
            <w:gridSpan w:val="2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4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0" w:hanging="0"/>
              <w:contextualSpacing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</w:r>
          </w:p>
        </w:tc>
        <w:tc>
          <w:tcPr>
            <w:tcW w:w="6946" w:type="dxa"/>
            <w:gridSpan w:val="3"/>
            <w:tcBorders/>
            <w:vAlign w:val="center"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bCs/>
                <w:kern w:val="0"/>
                <w:sz w:val="24"/>
                <w:szCs w:val="24"/>
                <w:lang w:val="ru-RU" w:eastAsia="ru-RU" w:bidi="ar-SA"/>
              </w:rPr>
              <w:t>Основные требования к системе управления и контроля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2.1.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Требование к автоматизации </w:t>
            </w:r>
            <w:r>
              <w:rPr>
                <w:bCs/>
                <w:kern w:val="0"/>
                <w:sz w:val="24"/>
                <w:szCs w:val="24"/>
                <w:highlight w:val="yellow"/>
                <w:lang w:val="ru-RU" w:bidi="ar-SA"/>
              </w:rPr>
              <w:t xml:space="preserve"> 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>ДГА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ДГА должны соответствовать нормам ГОСТ Р 55437-2013 (кроме пункта 4.5. вышеуказанного ГОСТа) «Двигатели внутреннего сгорания поршневые. Классификация по объёму автоматизации и тех. требования к автоматизации» и автоматизированы в объеме не ниже 3-й степени автоматизации.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  <w:r>
              <w:rPr>
                <w:kern w:val="0"/>
                <w:sz w:val="24"/>
                <w:szCs w:val="24"/>
                <w:lang w:val="en-US" w:bidi="ar-SA"/>
              </w:rPr>
              <w:t>2.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параллельному режиму работы ДГА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Параллельный режим работы ДГА, должен обеспечивать выполнение следующих операций: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 автоматическую синхронизацию при включении в параллель и автоматический прием нагрузки при параллельной работе ДГА между собой.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 автоматическое, пропорциональное распределение активной нагрузки между ДГА различной мощности с точностью 10 % номинальной мощности меньшего по мощности агрегата. При этом системы возбуждения электрогенераторов (далее ЭГ) должны обеспечивать распределение реактивной мощности с точностью 10 % при изменении суммарной нагрузки от 25 % и выше.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 автоматическую поддержку номинальной частоты вращения и выходного напряжения ЭГ во всем диапазоне нагрузок.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 плавную разгрузку ДГА при выходе с параллели.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  <w:r>
              <w:rPr>
                <w:kern w:val="0"/>
                <w:sz w:val="24"/>
                <w:szCs w:val="24"/>
                <w:lang w:val="en-US" w:bidi="ar-SA"/>
              </w:rPr>
              <w:t>3.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АПС и ТЗ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Аварийно-предупредительная сигнализация (далее АПС) и технологическая защита (далее ТЗ) ЭГ должна иметь две ступени – предупреждение и авария по следующим параметрам: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низкое/высокое напряжение ЭГ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низкая/высокая частота ЭГ, вращение двигателя внутреннего сгорания (далее ДВС)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 короткое замыкание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 перегруз по току, мощности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перекос по току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обратная мощность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низкое/высокое напряжение сети 24 В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  <w:r>
              <w:rPr>
                <w:kern w:val="0"/>
                <w:sz w:val="24"/>
                <w:szCs w:val="24"/>
                <w:lang w:val="en-US" w:bidi="ar-SA"/>
              </w:rPr>
              <w:t>4.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Дополнительное требование к АПС и ТЗ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Система АПС и ТЗ ДВС должна соответствовать ГОСТ 11928-83 и обеспечивать сигнализацию и технологическую защиту по нижеперечисленным параметрам: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температура охлаждающей жидкости в системе охлаждения более допустимой (АПС и ТЗ);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температура масла в системе смазки более допустимой (АПС и ТЗ);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температура выпускных газов на выходе по цилиндрам или перед турбокомпрессором (при наличии), более допустимой (только АПС);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  давление масла в системе смазки менее допустимого (АПС и ТЗ);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превышение номинальной частоты вращения коленчатого вала более 15% (АПС и ТЗ);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сопротивление воздуха во впускном коллекторе после воздушного фильтра более 5 кПа,  (только АПС) 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неудавшийся пуск (только АПС);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незавершенный останов (АПС и ТЗ);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- минимальный уровень охлаждающей жидкости в системе охлаждения (АПС).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При достижении аварийных (предупредительных) значений контролируемых параметров должен выдаваться звуковой и световой сигналы, указывающие режим неисправности на дисплее ДГА. При срабатывании защиты по любому из аварийных режимов, должно обеспечиваться своевременное снятие нагрузки с ЭГ, с последующим остановом ДВС ДГА и осуществлением блокировки повторного пуска. Останов ДГА, при перегреве ДВС, должен осуществляться после предварительного снятия нагрузки с ЭГ и последующей работы ДГА "длительной мощностью" (СОР)на холостом ходу до окончания аварийной ситуации (кроме аварийных ситуаций требующих экстренной остановки).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kern w:val="0"/>
                <w:sz w:val="24"/>
                <w:szCs w:val="24"/>
                <w:lang w:val="ru-RU" w:eastAsia="ar-SA" w:bidi="ar-SA"/>
              </w:rPr>
              <w:t>Предусмотреть датчики температуры подшипников генератора.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  <w:r>
              <w:rPr>
                <w:kern w:val="0"/>
                <w:sz w:val="24"/>
                <w:szCs w:val="24"/>
                <w:lang w:val="en-US" w:bidi="ar-SA"/>
              </w:rPr>
              <w:t>5.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контроллеру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Style25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При недостаточном количестве встроенных аналоговых входов предусмотреть установку модуля (ей) расширения с дополнительными аналоговыми входами.</w:t>
            </w:r>
          </w:p>
          <w:p>
            <w:pPr>
              <w:pStyle w:val="Style25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Контроллер должен быть оснащен системой удаленной связи и визуализации по интерфейсу RS-485 и должен быть укомплектован:</w:t>
            </w:r>
          </w:p>
          <w:p>
            <w:pPr>
              <w:pStyle w:val="Style25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 xml:space="preserve">- преобразователем связи RS-485 для подключения к компьютеру. </w:t>
            </w:r>
            <w:r>
              <w:rPr>
                <w:rFonts w:eastAsia="Calibri" w:cs="Arial" w:ascii="Calibri" w:hAnsi="Calibri"/>
                <w:kern w:val="0"/>
                <w:sz w:val="24"/>
                <w:szCs w:val="24"/>
                <w:lang w:val="ru-RU" w:eastAsia="ru-RU" w:bidi="ar-SA"/>
              </w:rPr>
              <w:t xml:space="preserve">Разъем для подключения к интерфейсу </w:t>
            </w:r>
            <w:r>
              <w:rPr>
                <w:rFonts w:eastAsia="Calibri" w:cs="Arial" w:ascii="Calibri" w:hAnsi="Calibri"/>
                <w:kern w:val="0"/>
                <w:sz w:val="24"/>
                <w:szCs w:val="24"/>
                <w:lang w:val="en-US" w:eastAsia="ru-RU" w:bidi="ar-SA"/>
              </w:rPr>
              <w:t>RS</w:t>
            </w:r>
            <w:r>
              <w:rPr>
                <w:rFonts w:eastAsia="Calibri" w:cs="Arial" w:ascii="Calibri" w:hAnsi="Calibri"/>
                <w:kern w:val="0"/>
                <w:sz w:val="24"/>
                <w:szCs w:val="24"/>
                <w:lang w:val="ru-RU" w:eastAsia="ru-RU" w:bidi="ar-SA"/>
              </w:rPr>
              <w:t>-485 должен быть выведен к клеммной колодке ЩАУ</w:t>
            </w: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Style25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В ЩАУ (</w:t>
            </w: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en-US" w:eastAsia="ru-RU" w:bidi="ar-SA"/>
              </w:rPr>
              <w:t>box</w:t>
            </w: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en-US" w:eastAsia="ru-RU" w:bidi="ar-SA"/>
              </w:rPr>
              <w:t>A</w:t>
            </w: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) предусмотреть защиту от неправильной полюсовки питания контроллера.</w:t>
            </w:r>
          </w:p>
          <w:p>
            <w:pPr>
              <w:pStyle w:val="Style25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В ЩАУ (</w:t>
            </w: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en-US" w:eastAsia="ru-RU" w:bidi="ar-SA"/>
              </w:rPr>
              <w:t>boxA</w:t>
            </w: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) предусмотреть защиту цепи управления контроллером регулятора напряжения генератора от замыкания на корпус.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kern w:val="0"/>
                <w:sz w:val="24"/>
                <w:szCs w:val="24"/>
                <w:lang w:val="ru-RU" w:eastAsia="ru-RU" w:bidi="ar-SA"/>
              </w:rPr>
              <w:t>Указание характеристик в Приложении № 1 к ТТ (Опросный лист)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Заполненный Опросный лист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(Приложение № 1 к ТТ)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  <w:r>
              <w:rPr>
                <w:kern w:val="0"/>
                <w:sz w:val="24"/>
                <w:szCs w:val="24"/>
                <w:lang w:val="en-US" w:bidi="ar-SA"/>
              </w:rPr>
              <w:t>6.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Щиту генераторному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Щит генератора силовой (ЩГС-10,5 кВ) собран на базе двух ячеек КСО в составе: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 вакуумный выключатель;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 измерительные трансформаторы тока;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 разъединитель линейный, заземлитель;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 разъединитель шинный, заземлитель;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-микропроцессорный терминал РЗА измеряющий токи и напряжение генератора, обеспечивающий защиту генератора согласно требований ПУЭ, ПТЭ.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 измерительные трансформаторы напряжения;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 контроллер защитной автоматики и автоматической работы генераторной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установки, обеспечивающий параллельную работу генераторных агрегатов;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- источник бесперебойного питания цепей РЗА, автоматики, оперативных цепей управления и сигнализации. Мощность ИБП 3000кВА, двойного преобразования(чистая синусоида).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ЩГС-10,5 кВ установлен в электротехническом помещении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Calibri" w:cs="Arial" w:ascii="Calibri" w:hAnsi="Calibri"/>
                <w:b/>
                <w:bCs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2.7.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Щиту собственных нужд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>Щит собственных нужд (ЩСН) предназначен для питания и управления агрегатами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>собственных нужд ДЭС и представляет собой металлический щит одностороннего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>обслуживания.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>ЩСН в том числе обеспечивает: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 xml:space="preserve">− </w:t>
            </w:r>
            <w:r>
              <w:rPr>
                <w:kern w:val="0"/>
                <w:sz w:val="24"/>
                <w:szCs w:val="24"/>
              </w:rPr>
              <w:t>прием электропитания 380В переменного тока от двух источников;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 xml:space="preserve">− </w:t>
            </w:r>
            <w:r>
              <w:rPr>
                <w:kern w:val="0"/>
                <w:sz w:val="24"/>
                <w:szCs w:val="24"/>
              </w:rPr>
              <w:t>электропитание системы освещения;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 xml:space="preserve">− </w:t>
            </w:r>
            <w:r>
              <w:rPr>
                <w:kern w:val="0"/>
                <w:sz w:val="24"/>
                <w:szCs w:val="24"/>
              </w:rPr>
              <w:t>электропитание системы отопления;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 xml:space="preserve">− </w:t>
            </w:r>
            <w:r>
              <w:rPr>
                <w:kern w:val="0"/>
                <w:sz w:val="24"/>
                <w:szCs w:val="24"/>
              </w:rPr>
              <w:t>электропитание приводов, автоматическое и ручное управление работой воздушных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>клапанов;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 xml:space="preserve">− </w:t>
            </w:r>
            <w:r>
              <w:rPr>
                <w:kern w:val="0"/>
                <w:sz w:val="24"/>
                <w:szCs w:val="24"/>
              </w:rPr>
              <w:t>электропитание, автоматическое управление работы систем вытяжного вентилятора;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 xml:space="preserve">− </w:t>
            </w:r>
            <w:r>
              <w:rPr>
                <w:kern w:val="0"/>
                <w:sz w:val="24"/>
                <w:szCs w:val="24"/>
              </w:rPr>
              <w:t>электропитание системы ОПС и пожаротушения;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>Электропитание устройств собственных нужд осуществляется переменным током</w:t>
            </w:r>
          </w:p>
          <w:p>
            <w:pPr>
              <w:pStyle w:val="Normal"/>
              <w:widowControl w:val="false"/>
              <w:rPr>
                <w:kern w:val="0"/>
              </w:rPr>
            </w:pPr>
            <w:r>
              <w:rPr>
                <w:kern w:val="0"/>
                <w:sz w:val="24"/>
                <w:szCs w:val="24"/>
              </w:rPr>
              <w:t>напряжением 380/220В, а также постоянным током напряжением 24В.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Щит установлен в электро-техническом помещении ДЭС.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Arial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eastAsia="Calibri" w:cs="Arial" w:ascii="Calibri" w:hAnsi="Calibri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  <w:lang w:val="ru-RU" w:bidi="ar-SA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bookmarkStart w:id="55" w:name="_GoBack_Копия_1"/>
            <w:bookmarkEnd w:id="55"/>
            <w:r>
              <w:rPr>
                <w:kern w:val="0"/>
                <w:sz w:val="24"/>
                <w:szCs w:val="24"/>
                <w:lang w:val="ru-RU" w:bidi="ar-SA"/>
              </w:rPr>
              <w:t>2.8.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комплектующим системы управления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Комплектующие системы управления:</w:t>
            </w:r>
          </w:p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kern w:val="0"/>
                <w:sz w:val="24"/>
                <w:szCs w:val="24"/>
                <w:lang w:val="ru-RU" w:eastAsia="ru-RU" w:bidi="ar-SA"/>
              </w:rPr>
              <w:t>-   Щит автоматического управления (box A);</w:t>
            </w:r>
          </w:p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Arial" w:ascii="Calibri" w:hAnsi="Calibri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-   Схема принципиальная электрическая в бумажном и электронном виде (на электронном съёмном носителе). Исполнитель предварительно перед этапом сборки и поставки ЩАУ, согласовывает схему со службой АСУТП Заказчика.</w:t>
            </w:r>
          </w:p>
        </w:tc>
        <w:tc>
          <w:tcPr>
            <w:tcW w:w="2551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 w:cs="Arial" w:ascii="Calibri" w:hAnsi="Calibri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2.9.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жгуту контрольного кабеля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Количество и сечение жил проводов жгута контрольного кабеля должно обеспечивать выполнение требований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п.2 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>Система управления и контроля данного технического задания: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- Жгут контрольного кабеля должен быть экранирован и защищен от проникновения влаги, с маркировкой и наконечниками. Подключение жгута к щиту автоматического управления выполнить через разъемы марки </w:t>
            </w:r>
            <w:r>
              <w:rPr>
                <w:bCs/>
                <w:kern w:val="0"/>
                <w:sz w:val="24"/>
                <w:szCs w:val="24"/>
                <w:lang w:val="en-US" w:bidi="ar-SA"/>
              </w:rPr>
              <w:t>Phoenix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bCs/>
                <w:kern w:val="0"/>
                <w:sz w:val="24"/>
                <w:szCs w:val="24"/>
                <w:lang w:val="en-US" w:bidi="ar-SA"/>
              </w:rPr>
              <w:t>contact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 серии </w:t>
            </w:r>
            <w:r>
              <w:rPr>
                <w:bCs/>
                <w:kern w:val="0"/>
                <w:sz w:val="24"/>
                <w:szCs w:val="24"/>
                <w:lang w:val="en-US" w:bidi="ar-SA"/>
              </w:rPr>
              <w:t>HEAVYCON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bCs/>
                <w:kern w:val="0"/>
                <w:sz w:val="24"/>
                <w:szCs w:val="24"/>
                <w:lang w:val="en-US" w:bidi="ar-SA"/>
              </w:rPr>
              <w:t>EVO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 или эквивалент с защитной крышкой, которые должны быть установлены на боковых стенках щита.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- Контрольный кабель должен быть выполнен гибкими проводами типа ПВ-3.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- В качестве защитной оболочки использовать трубу гофрированную ПВХ. Не применять металлорукав.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Предусмотреть в общем жгут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>е 4 резервных провода.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2.10.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Дополнительные требования к системе управления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- Предусмотреть на наружной лицевой стороне ЩАУ переключатель (тумблер) для управления питанием контроллера.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- Предусмотреть на наружной лицевой стороне ЩАУ переключатель (тумблер) «ручной/авто».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- В положении «авто» управление ДГА происходит автоматизировано с контроллера управления. Пуск ДГА на номинальные обороты (1500об/мин) должен производиться через промежуточные обороты (1000 об/мин) для прогрева ДВС.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- Предусмотреть на наружной лицевой стороне ЩАУ переключатель (тумблер) для ручного управления режимом оборотов — «1500/1000» только в положении тумблера «ручной».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2.11.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управлению Управление реактивной (возбуждением ЭГ) и активной мощностью при параллельной работе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Управление реактивной (возбуждением ЭГ) и активной мощностью (регулятором оборотов) при параллельной работе должно производиться контроллером системы управления.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2.12.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щиту автоматического управления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  <w:tab w:val="left" w:pos="1134" w:leader="none"/>
              </w:tabs>
              <w:spacing w:before="0" w:after="0"/>
              <w:ind w:left="0" w:hanging="0"/>
              <w:contextualSpacing/>
              <w:jc w:val="both"/>
              <w:rPr>
                <w:lang w:bidi="ar-SA"/>
              </w:rPr>
            </w:pPr>
            <w:r>
              <w:rPr>
                <w:kern w:val="0"/>
                <w:lang w:val="ru-RU" w:bidi="ar-SA"/>
              </w:rPr>
              <w:t>Щит автоматического управления</w:t>
            </w:r>
            <w:r>
              <w:rPr>
                <w:bCs/>
                <w:kern w:val="0"/>
                <w:lang w:val="ru-RU" w:bidi="ar-SA"/>
              </w:rPr>
              <w:t xml:space="preserve"> (box A) </w:t>
            </w:r>
            <w:r>
              <w:rPr>
                <w:kern w:val="0"/>
                <w:lang w:val="ru-RU" w:bidi="ar-SA"/>
              </w:rPr>
              <w:t xml:space="preserve">выполнить настенного, одностороннего, переднего обслуживания с габаритами позволяющими установку комплектующих, со степенью защиты </w:t>
            </w:r>
            <w:r>
              <w:rPr>
                <w:kern w:val="0"/>
                <w:lang w:val="en-US" w:bidi="ar-SA"/>
              </w:rPr>
              <w:t>IP</w:t>
            </w:r>
            <w:r>
              <w:rPr>
                <w:kern w:val="0"/>
                <w:lang w:val="ru-RU" w:bidi="ar-SA"/>
              </w:rPr>
              <w:t>55, со съемными монтажными панелями. В нижней части щита box А предусмотреть технологические отверстия со съемными крышками.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Электронный регулятор скорости установить в щите управления (box A).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Для агрегатов с системой впрыска топлива 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аккумуляторного типа с электронным блоком управления 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>предусмотреть разъём OBD-2 для подключения к электронному блоку управления двигателем (с подключением н</w:t>
            </w:r>
            <w:r>
              <w:rPr>
                <w:bCs/>
                <w:color w:val="000000"/>
                <w:kern w:val="0"/>
                <w:sz w:val="24"/>
                <w:szCs w:val="24"/>
                <w:lang w:val="ru-RU" w:bidi="ar-SA"/>
              </w:rPr>
              <w:t>еобходимых проводов). Вывести на наружную лицевую сторону кнопку диагностики для получения ошибок из памяти блока управления и соответствующую лампу для индикации блинк-кодов.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Разделить цепи 220 В и 24 В, выполнив монтаж группы клеммных колодок переменного напряжения 220В отдельно от группы колодок постоянного напряжения 24В.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Указание характеристик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2.13.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Требование к щиту клеммному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1134" w:leader="none"/>
              </w:tabs>
              <w:spacing w:before="0" w:after="0"/>
              <w:ind w:left="4" w:hanging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  <w:t>Щит клеммный (box B) предназначен для установки на ДГА.  степень защиты IP55 со съемной монтажной панелью. Щит должен быть закреплен на жесткой конструкции, приваренной к раме ДГА с резиновыми амортизаторами, расположенный сбоку от генератора. В составе щита: клеммная колодка для подключения проводов всех датчиков, актуатора, питания 24В, зарядного генератора, управления АРН, стоп-устройства и т.п.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Указание характеристик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2.14.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Требование к монтажу </w:t>
            </w: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  <w:t>силовых и контрольных кабелей</w:t>
            </w:r>
          </w:p>
        </w:tc>
        <w:tc>
          <w:tcPr>
            <w:tcW w:w="365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1134" w:leader="none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  <w:t>Монтаж силовых и контрольных кабелей произвести с помощью сальниковых вводов.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1134" w:leader="none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Силовой кабель с опрессованными наконечниками ТМЛ, должен быть защищен от механических воздействий, воздействий масла и солнечных лучей.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1134" w:leader="none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bidi="ar-SA"/>
              </w:rPr>
              <w:t>Силовые кабеля с сечением согласно номинальной нагрузки PRIME должны быть подключены к клеммам генератора и выведены через проходные сальники.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1134" w:leader="none"/>
              </w:tabs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Обвязку регулятора оборотов, корректора напряжения, всех датчиков выполнить экранированным проводом.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0" w:hanging="0"/>
              <w:contextualSpacing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</w:r>
          </w:p>
        </w:tc>
        <w:tc>
          <w:tcPr>
            <w:tcW w:w="694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Основные требования к блоку утилизации тепла (далее — БУТ)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3.1.</w:t>
            </w:r>
          </w:p>
        </w:tc>
        <w:tc>
          <w:tcPr>
            <w:tcW w:w="3472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Требования к БУТ</w:t>
            </w:r>
          </w:p>
        </w:tc>
        <w:tc>
          <w:tcPr>
            <w:tcW w:w="347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kern w:val="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БУТ должен быть выполнен в климатическом исполнении УХЛ1 по ГОСТ 15150-69. Номинальная тепловая мощность — 1300 кВт.</w:t>
            </w:r>
          </w:p>
          <w:p>
            <w:pPr>
              <w:pStyle w:val="Normal"/>
              <w:widowControl w:val="false"/>
              <w:bidi w:val="0"/>
              <w:jc w:val="left"/>
              <w:rPr>
                <w:kern w:val="0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В комплект поставки БУТ должны входить все необходимые узлы и соединительные элементы для подключения к ДГА в соответствии с Приложением № 1 Опросного листа.</w:t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Заполненный Опросный лист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 Приложение № 1 к ТТ)</w:t>
            </w:r>
          </w:p>
        </w:tc>
        <w:tc>
          <w:tcPr>
            <w:tcW w:w="269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3.2.</w:t>
            </w:r>
          </w:p>
        </w:tc>
        <w:tc>
          <w:tcPr>
            <w:tcW w:w="3472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Требования к монтажу БУТ</w:t>
            </w:r>
          </w:p>
        </w:tc>
        <w:tc>
          <w:tcPr>
            <w:tcW w:w="347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>БУТ должен быть установлен на крыше контейнера ДЭС в специально предназначенные для этого места с надёжной фиксацией.</w:t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Заполненный Опросный лист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 Приложение № 1 к ТТ)</w:t>
            </w:r>
          </w:p>
        </w:tc>
        <w:tc>
          <w:tcPr>
            <w:tcW w:w="269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0" w:hanging="0"/>
              <w:contextualSpacing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</w:r>
          </w:p>
        </w:tc>
        <w:tc>
          <w:tcPr>
            <w:tcW w:w="6946" w:type="dxa"/>
            <w:gridSpan w:val="3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69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4.1.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Место поставки</w:t>
            </w:r>
          </w:p>
        </w:tc>
        <w:tc>
          <w:tcPr>
            <w:tcW w:w="3656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Продукция должна быть достав</w:t>
            </w: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лена Поставщиком по адресу: </w:t>
            </w: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678550, Республика Саха (Якутия), р-н Усть-Янский, п. Усть-Куйга, ул. Янская д. 10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bookmarkStart w:id="56" w:name="__RefHeading___Toc3914_3961127944"/>
            <w:bookmarkStart w:id="57" w:name="_Toc148695179"/>
            <w:bookmarkEnd w:id="56"/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  <w:bookmarkEnd w:id="57"/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4.2.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Условия транспортирования</w:t>
            </w:r>
          </w:p>
        </w:tc>
        <w:tc>
          <w:tcPr>
            <w:tcW w:w="3656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ГОСТ 15150-69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5(ОЖ4). Обоснование: транспортировка в район Крайнего Севера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0" w:hanging="0"/>
              <w:contextualSpacing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</w:r>
          </w:p>
        </w:tc>
        <w:tc>
          <w:tcPr>
            <w:tcW w:w="694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5.1.</w:t>
            </w:r>
          </w:p>
        </w:tc>
        <w:tc>
          <w:tcPr>
            <w:tcW w:w="329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Предоставление гарантии</w:t>
            </w:r>
          </w:p>
        </w:tc>
        <w:tc>
          <w:tcPr>
            <w:tcW w:w="3656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Гарантийный срок эксплуатации  ДГА должен быть не менее - 18 месяцев с момента ввода его в эксплуатацию, при гарантийной наработке не более значений назначенных ресурсов до первой (полной) переборки, установленных в технических условиях на двигатели конкретного типа (ГОСТ 10150-2014, п.9.2.).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Указание характеристик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ind w:left="0" w:hanging="0"/>
              <w:contextualSpacing/>
              <w:jc w:val="center"/>
              <w:rPr>
                <w:lang w:val="ru-RU" w:bidi="ar-SA"/>
              </w:rPr>
            </w:pPr>
            <w:r>
              <w:rPr>
                <w:lang w:val="ru-RU" w:bidi="ar-SA"/>
              </w:rPr>
            </w:r>
          </w:p>
        </w:tc>
        <w:tc>
          <w:tcPr>
            <w:tcW w:w="6946" w:type="dxa"/>
            <w:gridSpan w:val="3"/>
            <w:tcBorders>
              <w:right w:val="nil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551" w:type="dxa"/>
            <w:tcBorders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6.1.</w:t>
            </w:r>
          </w:p>
        </w:tc>
        <w:tc>
          <w:tcPr>
            <w:tcW w:w="3290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Документы, передаваемые вместе с продукцией</w:t>
            </w:r>
          </w:p>
        </w:tc>
        <w:tc>
          <w:tcPr>
            <w:tcW w:w="3656" w:type="dxa"/>
            <w:gridSpan w:val="2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ДГА должны сопровождаться следующими документами: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Паспорт на ДГА;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Паспорт на ДВС;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Паспорта теплообменного оборудования (БУТ);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Документы, подтверждающих соответствие предлагаемой продукции требованиям Заказчика (ГОСТам, ТУ)                                                                                                                                                                                                        - Формуляр (с записью проведенных, заводских испытаний);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Каталог деталей и сборочных единиц ДВС (на бумажном и электронном носителе);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Руководство по эксплуатации дизельного двигателя (на бумажном и электронном носителе);                                                                                                                                                                                   - Руководство по ремонту дизельного двигателя (ТУ на ремонт) (на бумажном и электронном носителе);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Технические условия на эксплуатационные материалы (рекомендации по выбору рабочих жидкостей) (на бумажном и электронном носителе);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bookmarkStart w:id="58" w:name="__RefHeading___Toc3916_3961127944"/>
            <w:bookmarkStart w:id="59" w:name="_Toc148695180"/>
            <w:bookmarkEnd w:id="58"/>
            <w:r>
              <w:rPr>
                <w:kern w:val="0"/>
                <w:sz w:val="24"/>
                <w:szCs w:val="24"/>
                <w:lang w:val="ru-RU" w:bidi="ar-SA"/>
              </w:rPr>
              <w:t>- Схема щита управления (дополнительно в электронном виде на диске либо по электронной почте);</w:t>
            </w:r>
            <w:bookmarkEnd w:id="59"/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bookmarkStart w:id="60" w:name="__RefHeading___Toc3918_3961127944"/>
            <w:bookmarkStart w:id="61" w:name="_Toc136869815"/>
            <w:bookmarkStart w:id="62" w:name="_Toc148695181"/>
            <w:bookmarkEnd w:id="60"/>
            <w:r>
              <w:rPr>
                <w:kern w:val="0"/>
                <w:sz w:val="24"/>
                <w:szCs w:val="24"/>
                <w:lang w:val="ru-RU" w:bidi="ar-SA"/>
              </w:rPr>
              <w:t>- Протокол испытаний под нагрузкой;</w:t>
            </w:r>
            <w:bookmarkEnd w:id="61"/>
            <w:bookmarkEnd w:id="62"/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bookmarkStart w:id="63" w:name="__RefHeading___Toc3920_3961127944"/>
            <w:bookmarkStart w:id="64" w:name="_Toc148695182"/>
            <w:bookmarkStart w:id="65" w:name="_Toc136869816"/>
            <w:bookmarkEnd w:id="63"/>
            <w:r>
              <w:rPr>
                <w:kern w:val="0"/>
                <w:sz w:val="24"/>
                <w:szCs w:val="24"/>
                <w:lang w:val="ru-RU" w:bidi="ar-SA"/>
              </w:rPr>
              <w:t>- Руководство по эксплуатации ДГА(на бумажном и электронном носителе).</w:t>
            </w:r>
            <w:bookmarkEnd w:id="64"/>
            <w:bookmarkEnd w:id="65"/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bookmarkStart w:id="66" w:name="__RefHeading___Toc3922_3961127944"/>
            <w:bookmarkStart w:id="67" w:name="_Toc148695183"/>
            <w:bookmarkStart w:id="68" w:name="_Toc136869817"/>
            <w:bookmarkEnd w:id="66"/>
            <w:r>
              <w:rPr>
                <w:kern w:val="0"/>
                <w:sz w:val="24"/>
                <w:szCs w:val="24"/>
                <w:lang w:val="ru-RU" w:bidi="ar-SA"/>
              </w:rPr>
              <w:t>- Руководство по эксплуатации силового генератора (на бумажном и электронном носителе)</w:t>
            </w:r>
            <w:bookmarkEnd w:id="67"/>
            <w:bookmarkEnd w:id="68"/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bookmarkStart w:id="69" w:name="__RefHeading___Toc3924_3961127944"/>
            <w:bookmarkStart w:id="70" w:name="_Toc148695184"/>
            <w:bookmarkEnd w:id="69"/>
            <w:r>
              <w:rPr>
                <w:kern w:val="0"/>
                <w:sz w:val="24"/>
                <w:szCs w:val="24"/>
                <w:lang w:val="ru-RU" w:bidi="ar-SA"/>
              </w:rPr>
              <w:t>- Руководство по эксплуатации щита управления (на бумажном и электронном носителе)</w:t>
            </w:r>
            <w:bookmarkEnd w:id="70"/>
            <w:r>
              <w:rPr>
                <w:kern w:val="0"/>
                <w:sz w:val="24"/>
                <w:szCs w:val="24"/>
                <w:lang w:val="ru-RU" w:bidi="ar-SA"/>
              </w:rPr>
              <w:t>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bookmarkStart w:id="71" w:name="__RefHeading___Toc3926_3961127944"/>
            <w:bookmarkEnd w:id="71"/>
            <w:r>
              <w:rPr>
                <w:kern w:val="0"/>
                <w:sz w:val="24"/>
                <w:szCs w:val="24"/>
                <w:lang w:val="ru-RU" w:bidi="ar-SA"/>
              </w:rPr>
              <w:t>- Упаковочные листы на каждый дизель-генератор (с указанием количества транспортных мест).</w:t>
            </w:r>
          </w:p>
        </w:tc>
        <w:tc>
          <w:tcPr>
            <w:tcW w:w="2551" w:type="dxa"/>
            <w:tcBorders>
              <w:top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right="-68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1134" w:gutter="0" w:header="680" w:top="1134" w:footer="0" w:bottom="709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ind w:right="-680" w:hanging="0"/>
        <w:jc w:val="both"/>
        <w:rPr>
          <w:sz w:val="24"/>
          <w:szCs w:val="24"/>
        </w:rPr>
      </w:pPr>
      <w:r>
        <w:rPr>
          <w:sz w:val="24"/>
          <w:szCs w:val="24"/>
        </w:rPr>
        <w:t>* Примечание: Указанные в настоящем ТТ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требований. 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  <w:r>
        <w:br w:type="page"/>
      </w:r>
    </w:p>
    <w:p>
      <w:pPr>
        <w:pStyle w:val="Heading4"/>
        <w:numPr>
          <w:ilvl w:val="2"/>
          <w:numId w:val="1"/>
        </w:numPr>
        <w:rPr/>
      </w:pPr>
      <w:bookmarkStart w:id="72" w:name="__RefHeading___Toc9059_3084006660"/>
      <w:bookmarkStart w:id="73" w:name="_Toc205555242"/>
      <w:bookmarkEnd w:id="72"/>
      <w:r>
        <w:rPr>
          <w:sz w:val="28"/>
          <w:szCs w:val="28"/>
        </w:rPr>
        <w:t>Требования к закупаемой продукции:</w:t>
      </w:r>
      <w:bookmarkEnd w:id="73"/>
    </w:p>
    <w:p>
      <w:pPr>
        <w:pStyle w:val="Normal"/>
        <w:spacing w:lineRule="auto" w:line="276"/>
        <w:ind w:firstLine="737"/>
        <w:jc w:val="both"/>
        <w:rPr/>
      </w:pPr>
      <w:r>
        <w:rPr/>
        <w:t>2.2.1.1 В случае расхождения информации, указанной в настоящих Технических требованиях и опросных листах (Приложение №1 к настоящим техническим требованиям), считать основным документом настоящие Технические требования.</w:t>
      </w:r>
    </w:p>
    <w:p>
      <w:pPr>
        <w:pStyle w:val="Normal"/>
        <w:spacing w:lineRule="auto" w:line="276"/>
        <w:ind w:firstLine="737"/>
        <w:jc w:val="both"/>
        <w:rPr/>
      </w:pPr>
      <w:r>
        <w:rPr/>
        <w:t>2.2.1.2 В случае если какой-либо из указанных в настоящих Технических требованиях ГОСТ или нормативный документ был заменен / отменен в процессе проведения закупки в связи с выпуском новой редакции стандарта, то Участнику необходимо применять ГОСТ или нормативный документ, принятый в его развитие.</w:t>
      </w:r>
    </w:p>
    <w:p>
      <w:pPr>
        <w:pStyle w:val="Heading4"/>
        <w:numPr>
          <w:ilvl w:val="2"/>
          <w:numId w:val="1"/>
        </w:numPr>
        <w:rPr/>
      </w:pPr>
      <w:bookmarkStart w:id="74" w:name="__RefHeading___Toc3910_3961127944_Копия_"/>
      <w:bookmarkStart w:id="75" w:name="_Toc205555243"/>
      <w:bookmarkStart w:id="76" w:name="_Toc148695177_Копия_1"/>
      <w:bookmarkEnd w:id="74"/>
      <w:r>
        <w:rPr>
          <w:sz w:val="28"/>
          <w:szCs w:val="28"/>
        </w:rPr>
        <w:t>В составе заявки необходимо предоставит</w:t>
      </w:r>
      <w:bookmarkEnd w:id="76"/>
      <w:r>
        <w:rPr>
          <w:sz w:val="28"/>
          <w:szCs w:val="28"/>
        </w:rPr>
        <w:t>ь:</w:t>
      </w:r>
      <w:bookmarkEnd w:id="75"/>
    </w:p>
    <w:p>
      <w:pPr>
        <w:pStyle w:val="Normal"/>
        <w:spacing w:lineRule="auto" w:line="276"/>
        <w:ind w:firstLine="737"/>
        <w:jc w:val="both"/>
        <w:rPr/>
      </w:pPr>
      <w:r>
        <w:rPr/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spacing w:lineRule="auto" w:line="276"/>
        <w:ind w:firstLine="737"/>
        <w:jc w:val="both"/>
        <w:rPr/>
      </w:pPr>
      <w:r>
        <w:rPr/>
        <w:t xml:space="preserve">1. </w:t>
      </w:r>
      <w:r>
        <w:rPr>
          <w:rStyle w:val="Style10"/>
          <w:b w:val="false"/>
          <w:i w:val="false"/>
          <w:shd w:fill="auto" w:val="clear"/>
        </w:rPr>
        <w:t>Техническое предложение, подготовленное в соответствии с настоящими ТТ по форме, представленное в документации о закупке.</w:t>
      </w:r>
    </w:p>
    <w:p>
      <w:pPr>
        <w:pStyle w:val="Normal"/>
        <w:spacing w:lineRule="auto" w:line="276"/>
        <w:jc w:val="both"/>
        <w:rPr/>
      </w:pPr>
      <w:r>
        <w:rPr/>
        <w:t xml:space="preserve">          </w:t>
      </w:r>
      <w:r>
        <w:rPr/>
        <w:t>2. Заполненный опросный лист (Приложение № 1 к ТТ);</w:t>
      </w:r>
    </w:p>
    <w:p>
      <w:pPr>
        <w:pStyle w:val="Normal"/>
        <w:spacing w:lineRule="auto" w:line="276"/>
        <w:jc w:val="both"/>
        <w:rPr/>
      </w:pPr>
      <w:r>
        <w:rPr/>
        <w:t xml:space="preserve"> </w:t>
      </w:r>
    </w:p>
    <w:p>
      <w:pPr>
        <w:pStyle w:val="Heading1"/>
        <w:spacing w:lineRule="auto" w:line="276"/>
        <w:ind w:left="0" w:hanging="0"/>
        <w:rPr>
          <w:sz w:val="24"/>
          <w:szCs w:val="24"/>
        </w:rPr>
      </w:pPr>
      <w:bookmarkStart w:id="77" w:name="__RefHeading___Toc9061_3084006660"/>
      <w:bookmarkEnd w:id="77"/>
      <w:r>
        <w:rPr>
          <w:sz w:val="24"/>
          <w:szCs w:val="24"/>
        </w:rPr>
        <w:t xml:space="preserve">     </w:t>
      </w:r>
      <w:bookmarkStart w:id="78" w:name="_Toc205555244"/>
      <w:r>
        <w:rPr>
          <w:sz w:val="24"/>
          <w:szCs w:val="24"/>
        </w:rPr>
        <w:t xml:space="preserve">3. </w:t>
      </w:r>
      <w:bookmarkStart w:id="79" w:name="_Toc54279844"/>
      <w:bookmarkStart w:id="80" w:name="_Toc141728506"/>
      <w:r>
        <w:rPr>
          <w:sz w:val="24"/>
          <w:szCs w:val="24"/>
        </w:rPr>
        <w:t>Требования к документации по ценообразованию на этапе закупки</w:t>
      </w:r>
      <w:bookmarkEnd w:id="79"/>
      <w:bookmarkEnd w:id="80"/>
      <w:r>
        <w:rPr>
          <w:sz w:val="24"/>
          <w:szCs w:val="24"/>
        </w:rPr>
        <w:t>.</w:t>
      </w:r>
      <w:bookmarkEnd w:id="78"/>
    </w:p>
    <w:p>
      <w:pPr>
        <w:pStyle w:val="Normal"/>
        <w:spacing w:lineRule="auto" w:line="276"/>
        <w:jc w:val="both"/>
        <w:rPr/>
      </w:pPr>
      <w:r>
        <w:rPr/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spacing w:lineRule="auto" w:line="276"/>
        <w:jc w:val="both"/>
        <w:rPr/>
      </w:pPr>
      <w:r>
        <w:rPr/>
        <w:t>Дополнительные документы по ценообразованию в состав заявки не включаются.</w:t>
      </w:r>
    </w:p>
    <w:p>
      <w:pPr>
        <w:pStyle w:val="Heading1"/>
        <w:spacing w:before="120" w:after="60"/>
        <w:ind w:left="0" w:hanging="0"/>
        <w:rPr/>
      </w:pPr>
      <w:bookmarkStart w:id="81" w:name="__RefHeading___Toc9063_3084006660"/>
      <w:bookmarkEnd w:id="81"/>
      <w:r>
        <w:rPr/>
        <w:t xml:space="preserve">      </w:t>
      </w:r>
      <w:bookmarkStart w:id="82" w:name="_Toc205555245"/>
      <w:r>
        <w:rPr/>
        <w:t xml:space="preserve">4. Приложение к техническим требованиям: </w:t>
      </w:r>
      <w:r>
        <w:rPr>
          <w:b w:val="false"/>
        </w:rPr>
        <w:t xml:space="preserve">Приложение №1 - </w:t>
      </w:r>
      <w:r>
        <w:rPr>
          <w:rStyle w:val="Style10"/>
          <w:b/>
          <w:i w:val="false"/>
          <w:shd w:fill="auto" w:val="clear"/>
        </w:rPr>
        <w:t>Опросный лист.</w:t>
      </w:r>
      <w:bookmarkEnd w:id="82"/>
    </w:p>
    <w:sectPr>
      <w:headerReference w:type="default" r:id="rId7"/>
      <w:headerReference w:type="first" r:id="rId8"/>
      <w:type w:val="nextPage"/>
      <w:pgSz w:orient="landscape" w:w="16838" w:h="11906"/>
      <w:pgMar w:left="992" w:right="1134" w:gutter="0" w:header="680" w:top="1134" w:footer="0" w:bottom="709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2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1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color w:val="365F91" w:themeColor="accent1" w:themeShade="bf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itleChar" w:customStyle="1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uiPriority w:val="29"/>
    <w:qFormat/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uiPriority w:val="30"/>
    <w:qFormat/>
    <w:rPr>
      <w:i/>
      <w:iCs/>
      <w:color w:val="365F91" w:themeColor="accent1" w:themeShade="bf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ootnoteTextChar" w:customStyle="1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 w:customStyle="1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i/>
      <w:iCs/>
      <w:color w:val="365F91" w:themeColor="accent1" w:themeShade="bf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color w:val="365F91" w:themeColor="accent1" w:themeShade="bf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Style" w:customStyle="1">
    <w:name w:val="Заголовок Знак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tyle1" w:customStyle="1">
    <w:name w:val="Подзаголовок Знак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2" w:customStyle="1">
    <w:name w:val="Цитата 2 Знак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character" w:styleId="Style2" w:customStyle="1">
    <w:name w:val="Выделенная цитата Знак"/>
    <w:basedOn w:val="DefaultParagraphFont"/>
    <w:link w:val="IntenseQuote"/>
    <w:uiPriority w:val="30"/>
    <w:qFormat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1" w:customStyle="1">
    <w:name w:val="Strong1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1" w:customStyle="1">
    <w:name w:val="Верхний колонтитул Знак1"/>
    <w:basedOn w:val="DefaultParagraphFont"/>
    <w:uiPriority w:val="99"/>
    <w:qFormat/>
    <w:rPr/>
  </w:style>
  <w:style w:type="character" w:styleId="Style3" w:customStyle="1">
    <w:name w:val="Нижний колонтитул Знак"/>
    <w:basedOn w:val="DefaultParagraphFont"/>
    <w:uiPriority w:val="99"/>
    <w:qFormat/>
    <w:rPr/>
  </w:style>
  <w:style w:type="character" w:styleId="11" w:customStyle="1">
    <w:name w:val="Текст сноски Знак1"/>
    <w:basedOn w:val="DefaultParagraphFont"/>
    <w:uiPriority w:val="99"/>
    <w:semiHidden/>
    <w:qFormat/>
    <w:rPr>
      <w:sz w:val="20"/>
      <w:szCs w:val="20"/>
    </w:rPr>
  </w:style>
  <w:style w:type="character" w:styleId="Style4" w:customStyle="1">
    <w:name w:val="Текст концевой сноски Знак"/>
    <w:basedOn w:val="DefaultParagraphFont"/>
    <w:uiPriority w:val="99"/>
    <w:semiHidden/>
    <w:qFormat/>
    <w:rPr>
      <w:sz w:val="20"/>
      <w:szCs w:val="20"/>
    </w:rPr>
  </w:style>
  <w:style w:type="character" w:styleId="Style5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12" w:customStyle="1">
    <w:name w:val="Заголовок 1 Знак"/>
    <w:basedOn w:val="DefaultParagraphFont"/>
    <w:qFormat/>
    <w:rPr>
      <w:rFonts w:ascii="Times New Roman" w:hAnsi="Times New Roman" w:eastAsia="Calibri" w:cs="Times New Roman"/>
      <w:b/>
      <w:sz w:val="28"/>
      <w:szCs w:val="28"/>
    </w:rPr>
  </w:style>
  <w:style w:type="character" w:styleId="21" w:customStyle="1">
    <w:name w:val="Заголовок 2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Pr>
      <w:rFonts w:ascii="Times New Roman" w:hAnsi="Times New Roman" w:eastAsia="Calibri" w:cs="Times New Roman"/>
      <w:b/>
      <w:sz w:val="24"/>
      <w:szCs w:val="24"/>
    </w:rPr>
  </w:style>
  <w:style w:type="character" w:styleId="4" w:customStyle="1">
    <w:name w:val="Заголовок 4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</w:rPr>
  </w:style>
  <w:style w:type="character" w:styleId="Style6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8" w:customStyle="1">
    <w:name w:val="Верх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Style9" w:customStyle="1">
    <w:name w:val="Абзац списка Знак"/>
    <w:link w:val="ListParagraph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2" w:customStyle="1">
    <w:name w:val="Текст примечания Знак"/>
    <w:basedOn w:val="DefaultParagraphFont"/>
    <w:link w:val="Annotationtex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Тема примечания Знак"/>
    <w:basedOn w:val="Style12"/>
    <w:link w:val="Annotationsubject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Символ нумерации"/>
    <w:qFormat/>
    <w:rPr>
      <w:b/>
      <w:bCs/>
    </w:rPr>
  </w:style>
  <w:style w:type="character" w:styleId="Linenumber1" w:customStyle="1">
    <w:name w:val="line number1"/>
    <w:qFormat/>
    <w:rPr/>
  </w:style>
  <w:style w:type="character" w:styleId="Strong">
    <w:name w:val="Strong"/>
    <w:qFormat/>
    <w:rPr>
      <w:b/>
      <w:bCs/>
    </w:rPr>
  </w:style>
  <w:style w:type="character" w:styleId="Linenumber2" w:customStyle="1">
    <w:name w:val="line number2"/>
    <w:qFormat/>
    <w:rPr/>
  </w:style>
  <w:style w:type="character" w:styleId="Linenumber">
    <w:name w:val="line number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link w:val="Style"/>
    <w:uiPriority w:val="10"/>
    <w:qFormat/>
    <w:pPr>
      <w:spacing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13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1111" w:customStyle="1">
    <w:name w:val="index heading111111"/>
    <w:basedOn w:val="13"/>
    <w:qFormat/>
    <w:pPr/>
    <w:rPr/>
  </w:style>
  <w:style w:type="paragraph" w:styleId="Indexheading1111111" w:customStyle="1">
    <w:name w:val="index heading1111111"/>
    <w:basedOn w:val="13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Subtitle">
    <w:name w:val="Subtitle"/>
    <w:basedOn w:val="Normal"/>
    <w:next w:val="Normal"/>
    <w:link w:val="Style1"/>
    <w:uiPriority w:val="11"/>
    <w:qFormat/>
    <w:pPr>
      <w:numPr>
        <w:ilvl w:val="1"/>
      </w:numPr>
    </w:pPr>
    <w:rPr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2"/>
    <w:uiPriority w:val="29"/>
    <w:qFormat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 w:hanging="0"/>
      <w:jc w:val="center"/>
    </w:pPr>
    <w:rPr>
      <w:i/>
      <w:iCs/>
      <w:color w:val="365F91" w:themeColor="accent1" w:themeShade="bf"/>
    </w:rPr>
  </w:style>
  <w:style w:type="paragraph" w:styleId="NoSpacing">
    <w:name w:val="No Spacing"/>
    <w:basedOn w:val="Normal"/>
    <w:uiPriority w:val="1"/>
    <w:qFormat/>
    <w:pPr/>
    <w:rPr/>
  </w:style>
  <w:style w:type="paragraph" w:styleId="Style18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3"/>
    <w:uiPriority w:val="99"/>
    <w:unhideWhenUsed/>
    <w:pPr>
      <w:tabs>
        <w:tab w:val="clear" w:pos="708"/>
        <w:tab w:val="center" w:pos="4844" w:leader="none"/>
        <w:tab w:val="right" w:pos="9689" w:leader="none"/>
      </w:tabs>
    </w:pPr>
    <w:rPr/>
  </w:style>
  <w:style w:type="paragraph" w:styleId="EndnoteText">
    <w:name w:val="Endnote Text"/>
    <w:basedOn w:val="Normal"/>
    <w:link w:val="Style4"/>
    <w:uiPriority w:val="99"/>
    <w:semiHidden/>
    <w:unhideWhenUsed/>
    <w:pPr/>
    <w:rPr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Indexheading111111111" w:customStyle="1">
    <w:name w:val="index heading111111111"/>
    <w:basedOn w:val="Normal"/>
    <w:qFormat/>
    <w:pPr>
      <w:suppressLineNumbers/>
    </w:pPr>
    <w:rPr>
      <w:rFonts w:cs="Lohit Devanagari"/>
    </w:rPr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1111" w:customStyle="1">
    <w:name w:val="caption1111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FootnoteText">
    <w:name w:val="Footnote Text"/>
    <w:basedOn w:val="Normal"/>
    <w:link w:val="11"/>
    <w:uiPriority w:val="99"/>
    <w:pPr/>
    <w:rPr>
      <w:sz w:val="20"/>
      <w:szCs w:val="20"/>
    </w:rPr>
  </w:style>
  <w:style w:type="paragraph" w:styleId="Header">
    <w:name w:val="Header"/>
    <w:basedOn w:val="Normal"/>
    <w:link w:val="1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ListParagraph">
    <w:name w:val="List Paragraph"/>
    <w:basedOn w:val="Normal"/>
    <w:link w:val="Style9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Style1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1" w:customStyle="1">
    <w:name w:val="Раздел положения"/>
    <w:basedOn w:val="Normal"/>
    <w:qFormat/>
    <w:pPr>
      <w:tabs>
        <w:tab w:val="clear" w:pos="708"/>
        <w:tab w:val="left" w:pos="360" w:leader="none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qFormat/>
    <w:pPr>
      <w:tabs>
        <w:tab w:val="clear" w:pos="708"/>
        <w:tab w:val="left" w:pos="357" w:leader="none"/>
      </w:tabs>
      <w:spacing w:before="80" w:after="80"/>
      <w:jc w:val="both"/>
    </w:pPr>
    <w:rPr/>
  </w:style>
  <w:style w:type="paragraph" w:styleId="BalloonText">
    <w:name w:val="Balloon Text"/>
    <w:basedOn w:val="Normal"/>
    <w:link w:val="Style11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2"/>
    <w:uiPriority w:val="99"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3"/>
    <w:uiPriority w:val="99"/>
    <w:semiHidden/>
    <w:unhideWhenUsed/>
    <w:qFormat/>
    <w:pPr/>
    <w:rPr>
      <w:b/>
      <w:bCs/>
    </w:rPr>
  </w:style>
  <w:style w:type="paragraph" w:styleId="Style23" w:customStyle="1">
    <w:name w:val="[РГ] Текст"/>
    <w:basedOn w:val="Normal"/>
    <w:qFormat/>
    <w:pPr>
      <w:spacing w:before="120" w:after="0"/>
      <w:jc w:val="both"/>
    </w:pPr>
    <w:rPr>
      <w:rFonts w:cs="Times New Roman (???????? ?????"/>
      <w:color w:val="000000"/>
      <w:sz w:val="26"/>
      <w:szCs w:val="24"/>
      <w:lang w:eastAsia="en-US"/>
    </w:rPr>
  </w:style>
  <w:style w:type="paragraph" w:styleId="14" w:customStyle="1">
    <w:name w:val="Обычный (веб)1"/>
    <w:basedOn w:val="Normal"/>
    <w:uiPriority w:val="99"/>
    <w:qFormat/>
    <w:pPr>
      <w:spacing w:beforeAutospacing="1" w:afterAutospacing="1"/>
      <w:ind w:left="1724" w:hanging="0"/>
      <w:jc w:val="both"/>
    </w:pPr>
    <w:rPr>
      <w:color w:val="000000" w:themeColor="text1"/>
      <w:sz w:val="24"/>
      <w:szCs w:val="24"/>
    </w:rPr>
  </w:style>
  <w:style w:type="paragraph" w:styleId="Style24" w:customStyle="1">
    <w:name w:val="Содержимое врезки"/>
    <w:basedOn w:val="Normal"/>
    <w:qFormat/>
    <w:pPr/>
    <w:rPr/>
  </w:style>
  <w:style w:type="paragraph" w:styleId="Style2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6" w:customStyle="1">
    <w:name w:val="Заголовок таблицы"/>
    <w:basedOn w:val="Style25"/>
    <w:qFormat/>
    <w:pPr>
      <w:jc w:val="center"/>
    </w:pPr>
    <w:rPr>
      <w:b/>
      <w:b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5761921771" w:customStyle="1">
    <w:name w:val="15761921771"/>
    <w:qFormat/>
  </w:style>
  <w:style w:type="numbering" w:styleId="34052808731" w:customStyle="1">
    <w:name w:val="34052808731"/>
    <w:qFormat/>
  </w:style>
  <w:style w:type="table" w:default="1" w:styleId="913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4">
    <w:name w:val="Plain Table 1"/>
    <w:basedOn w:val="91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5">
    <w:name w:val="Plain Table 2"/>
    <w:basedOn w:val="91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6">
    <w:name w:val="Plain Table 3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7">
    <w:name w:val="Plain Table 4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8">
    <w:name w:val="Plain Table 5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9">
    <w:name w:val="Grid Table 1 Light"/>
    <w:basedOn w:val="91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0">
    <w:name w:val="Grid Table 2"/>
    <w:basedOn w:val="9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1">
    <w:name w:val="Grid Table 3"/>
    <w:basedOn w:val="9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2">
    <w:name w:val="Grid Table 4"/>
    <w:basedOn w:val="91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3">
    <w:name w:val="Grid Table 5 Dark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4">
    <w:name w:val="Grid Table 6 Colorful"/>
    <w:basedOn w:val="91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5">
    <w:name w:val="Grid Table 7 Colorful"/>
    <w:basedOn w:val="91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6">
    <w:name w:val="List Table 1 Light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7">
    <w:name w:val="List Table 2"/>
    <w:basedOn w:val="91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8">
    <w:name w:val="List Table 3"/>
    <w:basedOn w:val="9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9">
    <w:name w:val="List Table 4"/>
    <w:basedOn w:val="9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0">
    <w:name w:val="List Table 5 Dark"/>
    <w:basedOn w:val="91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1">
    <w:name w:val="List Table 6 Colorful"/>
    <w:basedOn w:val="91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2">
    <w:name w:val="List Table 7 Colorful"/>
    <w:basedOn w:val="91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3">
    <w:name w:val="Таблица простая 11"/>
    <w:basedOn w:val="91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FFFFF" w:themeFill="text1" w:themeFillTint="0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4">
    <w:name w:val="Таблица простая 21"/>
    <w:basedOn w:val="91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5">
    <w:name w:val="Таблица простая 31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6">
    <w:name w:val="Таблица простая 41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7">
    <w:name w:val="Таблица простая 51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8">
    <w:name w:val="Таблица-сетка 1 светлая1"/>
    <w:basedOn w:val="91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39">
    <w:name w:val="Таблица-сетка 21"/>
    <w:basedOn w:val="9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0">
    <w:name w:val="Таблица-сетка 31"/>
    <w:basedOn w:val="9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1">
    <w:name w:val="Таблица-сетка 41"/>
    <w:basedOn w:val="91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2">
    <w:name w:val="Таблица-сетка 5 темная1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3">
    <w:name w:val="Таблица-сетка 6 цветная1"/>
    <w:basedOn w:val="91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4">
    <w:name w:val="Таблица-сетка 7 цветная1"/>
    <w:basedOn w:val="91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5">
    <w:name w:val="Список-таблица 1 светлая1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6">
    <w:name w:val="Список-таблица 21"/>
    <w:basedOn w:val="91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7">
    <w:name w:val="Список-таблица 31"/>
    <w:basedOn w:val="9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8">
    <w:name w:val="Список-таблица 41"/>
    <w:basedOn w:val="9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49">
    <w:name w:val="Список-таблица 5 темная1"/>
    <w:basedOn w:val="91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0">
    <w:name w:val="Список-таблица 6 цветная1"/>
    <w:basedOn w:val="91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1">
    <w:name w:val="Список-таблица 7 цветная1"/>
    <w:basedOn w:val="91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2">
    <w:name w:val="Table Grid Light"/>
    <w:basedOn w:val="91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3">
    <w:name w:val="Таблица простая 11"/>
    <w:basedOn w:val="91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FFFFF" w:themeFill="text1" w:themeFillTint="0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4">
    <w:name w:val="Таблица простая 21"/>
    <w:basedOn w:val="91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5">
    <w:name w:val="Таблица простая 31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6">
    <w:name w:val="Таблица простая 41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7">
    <w:name w:val="Таблица простая 51"/>
    <w:basedOn w:val="91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8">
    <w:name w:val="Таблица-сетка 1 светлая1"/>
    <w:basedOn w:val="91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59">
    <w:name w:val="Grid Table 1 Light - Accent 1"/>
    <w:basedOn w:val="91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0">
    <w:name w:val="Grid Table 1 Light - Accent 2"/>
    <w:basedOn w:val="91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1">
    <w:name w:val="Grid Table 1 Light - Accent 3"/>
    <w:basedOn w:val="91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2">
    <w:name w:val="Grid Table 1 Light - Accent 4"/>
    <w:basedOn w:val="91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3">
    <w:name w:val="Grid Table 1 Light - Accent 5"/>
    <w:basedOn w:val="91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4">
    <w:name w:val="Grid Table 1 Light - Accent 6"/>
    <w:basedOn w:val="91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5">
    <w:name w:val="Таблица-сетка 21"/>
    <w:basedOn w:val="9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6">
    <w:name w:val="Grid Table 2 - Accent 1"/>
    <w:basedOn w:val="91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7">
    <w:name w:val="Grid Table 2 - Accent 2"/>
    <w:basedOn w:val="91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8">
    <w:name w:val="Grid Table 2 - Accent 3"/>
    <w:basedOn w:val="91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69">
    <w:name w:val="Grid Table 2 - Accent 4"/>
    <w:basedOn w:val="91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0">
    <w:name w:val="Grid Table 2 - Accent 5"/>
    <w:basedOn w:val="91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1">
    <w:name w:val="Grid Table 2 - Accent 6"/>
    <w:basedOn w:val="91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2">
    <w:name w:val="Таблица-сетка 31"/>
    <w:basedOn w:val="9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3">
    <w:name w:val="Grid Table 3 - Accent 1"/>
    <w:basedOn w:val="91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4">
    <w:name w:val="Grid Table 3 - Accent 2"/>
    <w:basedOn w:val="91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5">
    <w:name w:val="Grid Table 3 - Accent 3"/>
    <w:basedOn w:val="91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6">
    <w:name w:val="Grid Table 3 - Accent 4"/>
    <w:basedOn w:val="91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7">
    <w:name w:val="Grid Table 3 - Accent 5"/>
    <w:basedOn w:val="91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8">
    <w:name w:val="Grid Table 3 - Accent 6"/>
    <w:basedOn w:val="91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79">
    <w:name w:val="Таблица-сетка 41"/>
    <w:basedOn w:val="91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0">
    <w:name w:val="Grid Table 4 - Accent 1"/>
    <w:basedOn w:val="91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1">
    <w:name w:val="Grid Table 4 - Accent 2"/>
    <w:basedOn w:val="91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2">
    <w:name w:val="Grid Table 4 - Accent 3"/>
    <w:basedOn w:val="91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3">
    <w:name w:val="Grid Table 4 - Accent 4"/>
    <w:basedOn w:val="91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4">
    <w:name w:val="Grid Table 4 - Accent 5"/>
    <w:basedOn w:val="91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5">
    <w:name w:val="Grid Table 4 - Accent 6"/>
    <w:basedOn w:val="91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6">
    <w:name w:val="Таблица-сетка 5 темная1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7">
    <w:name w:val="Grid Table 5 Dark- Accent 1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EC4E0" w:fill="AEC4E0" w:themeFill="accent1" w:themeFillTint="75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8">
    <w:name w:val="Grid Table 5 Dark - Accent 2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E2AEAD" w:fill="E2AEAD" w:themeFill="accent2" w:themeFillTint="75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89">
    <w:name w:val="Grid Table 5 Dark - Accent 3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0DFB2" w:fill="D0DFB2" w:themeFill="accent3" w:themeFillTint="75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0">
    <w:name w:val="Grid Table 5 Dark- Accent 4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C4B7D4" w:fill="C4B7D4" w:themeFill="accent4" w:themeFillTint="75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1">
    <w:name w:val="Grid Table 5 Dark - Accent 5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CD8E4" w:fill="ACD8E4" w:themeFill="accent5" w:themeFillTint="7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2">
    <w:name w:val="Grid Table 5 Dark - Accent 6"/>
    <w:basedOn w:val="9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BCEAA" w:fill="FBCEAA" w:themeFill="accent6" w:themeFillTint="75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3">
    <w:name w:val="Таблица-сетка 6 цветная1"/>
    <w:basedOn w:val="91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4">
    <w:name w:val="Grid Table 6 Colorful - Accent 1"/>
    <w:basedOn w:val="91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5">
    <w:name w:val="Grid Table 6 Colorful - Accent 2"/>
    <w:basedOn w:val="91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6">
    <w:name w:val="Grid Table 6 Colorful - Accent 3"/>
    <w:basedOn w:val="91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7">
    <w:name w:val="Grid Table 6 Colorful - Accent 4"/>
    <w:basedOn w:val="91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8">
    <w:name w:val="Grid Table 6 Colorful - Accent 5"/>
    <w:basedOn w:val="91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999">
    <w:name w:val="Grid Table 6 Colorful - Accent 6"/>
    <w:basedOn w:val="91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0">
    <w:name w:val="Таблица-сетка 7 цветная1"/>
    <w:basedOn w:val="91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1">
    <w:name w:val="Grid Table 7 Colorful - Accent 1"/>
    <w:basedOn w:val="91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2">
    <w:name w:val="Grid Table 7 Colorful - Accent 2"/>
    <w:basedOn w:val="91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3">
    <w:name w:val="Grid Table 7 Colorful - Accent 3"/>
    <w:basedOn w:val="91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4">
    <w:name w:val="Grid Table 7 Colorful - Accent 4"/>
    <w:basedOn w:val="91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5">
    <w:name w:val="Grid Table 7 Colorful - Accent 5"/>
    <w:basedOn w:val="91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6">
    <w:name w:val="Grid Table 7 Colorful - Accent 6"/>
    <w:basedOn w:val="91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7">
    <w:name w:val="Список-таблица 1 светлая1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8">
    <w:name w:val="List Table 1 Light - Accent 1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09">
    <w:name w:val="List Table 1 Light - Accent 2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0">
    <w:name w:val="List Table 1 Light - Accent 3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1">
    <w:name w:val="List Table 1 Light - Accent 4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2">
    <w:name w:val="List Table 1 Light - Accent 5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3">
    <w:name w:val="List Table 1 Light - Accent 6"/>
    <w:basedOn w:val="913"/>
    <w:uiPriority w:val="99"/>
    <w:tblPr>
      <w:tblStyleRowBandSize w:val="1"/>
      <w:tblStyleColBandSize w:val="1"/>
    </w:tblPr>
    <w:tblStylePr w:type="band1Horz"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4">
    <w:name w:val="Список-таблица 21"/>
    <w:basedOn w:val="91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5">
    <w:name w:val="List Table 2 - Accent 1"/>
    <w:basedOn w:val="91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6">
    <w:name w:val="List Table 2 - Accent 2"/>
    <w:basedOn w:val="91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7">
    <w:name w:val="List Table 2 - Accent 3"/>
    <w:basedOn w:val="91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8">
    <w:name w:val="List Table 2 - Accent 4"/>
    <w:basedOn w:val="91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19">
    <w:name w:val="List Table 2 - Accent 5"/>
    <w:basedOn w:val="91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0">
    <w:name w:val="List Table 2 - Accent 6"/>
    <w:basedOn w:val="91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1">
    <w:name w:val="Список-таблица 31"/>
    <w:basedOn w:val="9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2">
    <w:name w:val="List Table 3 - Accent 1"/>
    <w:basedOn w:val="91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3">
    <w:name w:val="List Table 3 - Accent 2"/>
    <w:basedOn w:val="91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4">
    <w:name w:val="List Table 3 - Accent 3"/>
    <w:basedOn w:val="91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5">
    <w:name w:val="List Table 3 - Accent 4"/>
    <w:basedOn w:val="91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6">
    <w:name w:val="List Table 3 - Accent 5"/>
    <w:basedOn w:val="91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7">
    <w:name w:val="List Table 3 - Accent 6"/>
    <w:basedOn w:val="91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8">
    <w:name w:val="Список-таблица 41"/>
    <w:basedOn w:val="9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29">
    <w:name w:val="List Table 4 - Accent 1"/>
    <w:basedOn w:val="91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0">
    <w:name w:val="List Table 4 - Accent 2"/>
    <w:basedOn w:val="91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1">
    <w:name w:val="List Table 4 - Accent 3"/>
    <w:basedOn w:val="91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2">
    <w:name w:val="List Table 4 - Accent 4"/>
    <w:basedOn w:val="91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3">
    <w:name w:val="List Table 4 - Accent 5"/>
    <w:basedOn w:val="91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4">
    <w:name w:val="List Table 4 - Accent 6"/>
    <w:basedOn w:val="91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5">
    <w:name w:val="Список-таблица 5 темная1"/>
    <w:basedOn w:val="91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6">
    <w:name w:val="List Table 5 Dark - Accent 1"/>
    <w:basedOn w:val="91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7">
    <w:name w:val="List Table 5 Dark - Accent 2"/>
    <w:basedOn w:val="91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8">
    <w:name w:val="List Table 5 Dark - Accent 3"/>
    <w:basedOn w:val="91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39">
    <w:name w:val="List Table 5 Dark - Accent 4"/>
    <w:basedOn w:val="91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0">
    <w:name w:val="List Table 5 Dark - Accent 5"/>
    <w:basedOn w:val="91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1">
    <w:name w:val="List Table 5 Dark - Accent 6"/>
    <w:basedOn w:val="91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2">
    <w:name w:val="Список-таблица 6 цветная1"/>
    <w:basedOn w:val="91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3">
    <w:name w:val="List Table 6 Colorful - Accent 1"/>
    <w:basedOn w:val="91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4">
    <w:name w:val="List Table 6 Colorful - Accent 2"/>
    <w:basedOn w:val="91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5">
    <w:name w:val="List Table 6 Colorful - Accent 3"/>
    <w:basedOn w:val="91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6">
    <w:name w:val="List Table 6 Colorful - Accent 4"/>
    <w:basedOn w:val="91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7">
    <w:name w:val="List Table 6 Colorful - Accent 5"/>
    <w:basedOn w:val="91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8">
    <w:name w:val="List Table 6 Colorful - Accent 6"/>
    <w:basedOn w:val="91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49">
    <w:name w:val="Список-таблица 7 цветная1"/>
    <w:basedOn w:val="91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0">
    <w:name w:val="List Table 7 Colorful - Accent 1"/>
    <w:basedOn w:val="91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1">
    <w:name w:val="List Table 7 Colorful - Accent 2"/>
    <w:basedOn w:val="91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2">
    <w:name w:val="List Table 7 Colorful - Accent 3"/>
    <w:basedOn w:val="91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3">
    <w:name w:val="List Table 7 Colorful - Accent 4"/>
    <w:basedOn w:val="91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4">
    <w:name w:val="List Table 7 Colorful - Accent 5"/>
    <w:basedOn w:val="91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5">
    <w:name w:val="List Table 7 Colorful - Accent 6"/>
    <w:basedOn w:val="91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6">
    <w:name w:val="Lined - Accent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7">
    <w:name w:val="Lined - Accent 1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8">
    <w:name w:val="Lined - Accent 2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59">
    <w:name w:val="Lined - Accent 3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0">
    <w:name w:val="Lined - Accent 4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1">
    <w:name w:val="Lined - Accent 5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2">
    <w:name w:val="Lined - Accent 6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3">
    <w:name w:val="Bordered &amp; Lined - Accent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4">
    <w:name w:val="Bordered &amp; Lined - Accent 1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5">
    <w:name w:val="Bordered &amp; Lined - Accent 2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6">
    <w:name w:val="Bordered &amp; Lined - Accent 3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7">
    <w:name w:val="Bordered &amp; Lined - Accent 4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8">
    <w:name w:val="Bordered &amp; Lined - Accent 5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69">
    <w:name w:val="Bordered &amp; Lined - Accent 6"/>
    <w:basedOn w:val="913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70">
    <w:name w:val="Bordered"/>
    <w:basedOn w:val="91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71">
    <w:name w:val="Bordered - Accent 1"/>
    <w:basedOn w:val="91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72">
    <w:name w:val="Bordered - Accent 2"/>
    <w:basedOn w:val="91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0504D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73">
    <w:name w:val="Bordered - Accent 3"/>
    <w:basedOn w:val="91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BB59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74">
    <w:name w:val="Bordered - Accent 4"/>
    <w:basedOn w:val="91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064A2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75">
    <w:name w:val="Bordered - Accent 5"/>
    <w:basedOn w:val="91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BACC6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76">
    <w:name w:val="Bordered - Accent 6"/>
    <w:basedOn w:val="91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79646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7">
    <w:name w:val="Table Grid"/>
    <w:basedOn w:val="913"/>
    <w:uiPriority w:val="39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Application>AlterOffice/2025.3.0.0$Linux_X86_64 LibreOffice_project/4ba31b6a4271509a884f95065d0a726e9cb2bdbb</Application>
  <AppVersion>15.0000</AppVersion>
  <Pages>19</Pages>
  <Words>2379</Words>
  <Characters>15705</Characters>
  <CharactersWithSpaces>18137</CharactersWithSpaces>
  <Paragraphs>323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2026-05-27T11:15:00Z</dcterms:created>
  <dc:creator>Таллаева Акулина Николаевна</dc:creator>
  <dc:description/>
  <dc:language>ru-RU</dc:language>
  <cp:lastModifiedBy/>
  <dcterms:modified xsi:type="dcterms:W3CDTF">2026-06-26T13:02:31Z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